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184A" w14:textId="77777777" w:rsidR="009313C7" w:rsidRDefault="00167DFE" w:rsidP="00167DFE">
      <w:pPr>
        <w:pStyle w:val="Heading1"/>
        <w:jc w:val="center"/>
      </w:pPr>
      <w:r>
        <w:t xml:space="preserve">HEED Consulting </w:t>
      </w:r>
    </w:p>
    <w:p w14:paraId="15CA6493" w14:textId="7E059C6E" w:rsidR="003F3333" w:rsidRDefault="00C568A7" w:rsidP="00167DFE">
      <w:pPr>
        <w:pStyle w:val="Heading1"/>
        <w:jc w:val="center"/>
      </w:pPr>
      <w:r w:rsidRPr="0068615E">
        <w:t xml:space="preserve">Capability </w:t>
      </w:r>
      <w:r w:rsidR="003F3333" w:rsidRPr="0068615E">
        <w:t>Statement</w:t>
      </w:r>
    </w:p>
    <w:p w14:paraId="59D926C3" w14:textId="77777777" w:rsidR="00167DFE" w:rsidRPr="00B91E31" w:rsidRDefault="00167DFE" w:rsidP="00167DFE">
      <w:pPr>
        <w:rPr>
          <w:sz w:val="20"/>
          <w:szCs w:val="20"/>
        </w:rPr>
      </w:pPr>
    </w:p>
    <w:p w14:paraId="10812117" w14:textId="77777777" w:rsidR="00D252AF" w:rsidRPr="00B91E31" w:rsidRDefault="00D252AF" w:rsidP="00167DFE">
      <w:pPr>
        <w:rPr>
          <w:sz w:val="20"/>
          <w:szCs w:val="20"/>
        </w:rPr>
      </w:pPr>
      <w:r w:rsidRPr="00B91E31">
        <w:rPr>
          <w:sz w:val="20"/>
          <w:szCs w:val="20"/>
        </w:rPr>
        <w:t xml:space="preserve">Higher Education Evaluation and Development (HEED) Consulting is a collaboration between </w:t>
      </w:r>
      <w:r w:rsidR="00C1389C" w:rsidRPr="00B91E31">
        <w:rPr>
          <w:sz w:val="20"/>
          <w:szCs w:val="20"/>
        </w:rPr>
        <w:t>highly experienced nationally and</w:t>
      </w:r>
      <w:r w:rsidRPr="00B91E31">
        <w:rPr>
          <w:sz w:val="20"/>
          <w:szCs w:val="20"/>
        </w:rPr>
        <w:t xml:space="preserve"> internationally </w:t>
      </w:r>
      <w:r w:rsidR="00C1389C" w:rsidRPr="00B91E31">
        <w:rPr>
          <w:sz w:val="20"/>
          <w:szCs w:val="20"/>
        </w:rPr>
        <w:t>respected</w:t>
      </w:r>
      <w:r w:rsidRPr="00B91E31">
        <w:rPr>
          <w:sz w:val="20"/>
          <w:szCs w:val="20"/>
        </w:rPr>
        <w:t xml:space="preserve"> </w:t>
      </w:r>
      <w:r w:rsidR="00BA04FD" w:rsidRPr="00B91E31">
        <w:rPr>
          <w:sz w:val="20"/>
          <w:szCs w:val="20"/>
        </w:rPr>
        <w:t>educators.</w:t>
      </w:r>
    </w:p>
    <w:p w14:paraId="781FFDA8" w14:textId="02978B41" w:rsidR="00F052D5" w:rsidRPr="00C0404C" w:rsidRDefault="00F052D5" w:rsidP="00C0404C">
      <w:pPr>
        <w:rPr>
          <w:sz w:val="20"/>
          <w:szCs w:val="20"/>
        </w:rPr>
      </w:pPr>
      <w:r w:rsidRPr="00C0404C">
        <w:rPr>
          <w:sz w:val="20"/>
          <w:szCs w:val="20"/>
        </w:rPr>
        <w:t>Based in Australia, we have worked with universities in Australia, New Zealand, Latin America, Europe, Africa and East Asia. In the past decade, we have supported educational initiatives from South Africa to Sri Lanka, Chile to China. More recently we have worked with long established private higher education providers and small start ups within Australia to support their TEQSA registration and accreditation requirements.</w:t>
      </w:r>
    </w:p>
    <w:p w14:paraId="4094181D" w14:textId="21C0F6BD" w:rsidR="00D252AF" w:rsidRPr="00B91E31" w:rsidRDefault="009038E5" w:rsidP="00167DFE">
      <w:pPr>
        <w:rPr>
          <w:sz w:val="20"/>
          <w:szCs w:val="20"/>
        </w:rPr>
      </w:pPr>
      <w:r w:rsidRPr="00B91E31">
        <w:rPr>
          <w:sz w:val="20"/>
          <w:szCs w:val="20"/>
        </w:rPr>
        <w:t>We</w:t>
      </w:r>
      <w:r w:rsidR="00D252AF" w:rsidRPr="00B91E31">
        <w:rPr>
          <w:sz w:val="20"/>
          <w:szCs w:val="20"/>
        </w:rPr>
        <w:t xml:space="preserve"> offer consultancy services in</w:t>
      </w:r>
    </w:p>
    <w:p w14:paraId="738A4545" w14:textId="5F722D3B" w:rsidR="004E7644" w:rsidRDefault="004476C1" w:rsidP="004E7644">
      <w:pPr>
        <w:pStyle w:val="ListParagraph"/>
        <w:numPr>
          <w:ilvl w:val="0"/>
          <w:numId w:val="9"/>
        </w:numPr>
        <w:rPr>
          <w:sz w:val="20"/>
          <w:szCs w:val="20"/>
        </w:rPr>
      </w:pPr>
      <w:r>
        <w:rPr>
          <w:sz w:val="20"/>
          <w:szCs w:val="20"/>
        </w:rPr>
        <w:t xml:space="preserve">Corporate and </w:t>
      </w:r>
      <w:r w:rsidR="004E7644" w:rsidRPr="00B91E31">
        <w:rPr>
          <w:sz w:val="20"/>
          <w:szCs w:val="20"/>
        </w:rPr>
        <w:t xml:space="preserve">Academic governance </w:t>
      </w:r>
    </w:p>
    <w:p w14:paraId="0C6DED73" w14:textId="77777777" w:rsidR="00A22752" w:rsidRPr="00B91E31" w:rsidRDefault="00A22752" w:rsidP="00167DFE">
      <w:pPr>
        <w:pStyle w:val="ListParagraph"/>
        <w:numPr>
          <w:ilvl w:val="0"/>
          <w:numId w:val="9"/>
        </w:numPr>
        <w:rPr>
          <w:sz w:val="20"/>
          <w:szCs w:val="20"/>
        </w:rPr>
      </w:pPr>
      <w:r w:rsidRPr="00B91E31">
        <w:rPr>
          <w:sz w:val="20"/>
          <w:szCs w:val="20"/>
        </w:rPr>
        <w:t>Evaluation and review</w:t>
      </w:r>
    </w:p>
    <w:p w14:paraId="0172B6C6" w14:textId="7E2507CF" w:rsidR="00D807CA" w:rsidRPr="00B91E31" w:rsidRDefault="00D807CA" w:rsidP="00167DFE">
      <w:pPr>
        <w:pStyle w:val="ListParagraph"/>
        <w:numPr>
          <w:ilvl w:val="0"/>
          <w:numId w:val="9"/>
        </w:numPr>
        <w:rPr>
          <w:sz w:val="20"/>
          <w:szCs w:val="20"/>
        </w:rPr>
      </w:pPr>
      <w:r w:rsidRPr="00B91E31">
        <w:rPr>
          <w:sz w:val="20"/>
          <w:szCs w:val="20"/>
        </w:rPr>
        <w:t>Institutional planning and strategy for teaching quality</w:t>
      </w:r>
    </w:p>
    <w:p w14:paraId="703B113E" w14:textId="78BCE38E" w:rsidR="00D252AF" w:rsidRPr="00B91E31" w:rsidRDefault="00A22752" w:rsidP="00167DFE">
      <w:pPr>
        <w:pStyle w:val="ListParagraph"/>
        <w:numPr>
          <w:ilvl w:val="0"/>
          <w:numId w:val="9"/>
        </w:numPr>
        <w:rPr>
          <w:sz w:val="20"/>
          <w:szCs w:val="20"/>
        </w:rPr>
      </w:pPr>
      <w:r w:rsidRPr="00B91E31">
        <w:rPr>
          <w:sz w:val="20"/>
          <w:szCs w:val="20"/>
        </w:rPr>
        <w:t xml:space="preserve">Academic and educational development </w:t>
      </w:r>
    </w:p>
    <w:p w14:paraId="251167C5" w14:textId="25737707" w:rsidR="00A22752" w:rsidRPr="00B91E31" w:rsidRDefault="1822965A" w:rsidP="00167DFE">
      <w:pPr>
        <w:pStyle w:val="ListParagraph"/>
        <w:numPr>
          <w:ilvl w:val="0"/>
          <w:numId w:val="9"/>
        </w:numPr>
        <w:rPr>
          <w:sz w:val="20"/>
          <w:szCs w:val="20"/>
        </w:rPr>
      </w:pPr>
      <w:r w:rsidRPr="00B91E31">
        <w:rPr>
          <w:sz w:val="20"/>
          <w:szCs w:val="20"/>
        </w:rPr>
        <w:t xml:space="preserve">Course and program review </w:t>
      </w:r>
    </w:p>
    <w:p w14:paraId="37565001" w14:textId="77777777" w:rsidR="00CF315E" w:rsidRPr="00B91E31" w:rsidRDefault="00CF315E" w:rsidP="00167DFE">
      <w:pPr>
        <w:pStyle w:val="ListParagraph"/>
        <w:numPr>
          <w:ilvl w:val="0"/>
          <w:numId w:val="9"/>
        </w:numPr>
        <w:rPr>
          <w:sz w:val="20"/>
          <w:szCs w:val="20"/>
        </w:rPr>
      </w:pPr>
      <w:r w:rsidRPr="00B91E31">
        <w:rPr>
          <w:sz w:val="20"/>
          <w:szCs w:val="20"/>
        </w:rPr>
        <w:t xml:space="preserve">Curriculum planning and evaluation </w:t>
      </w:r>
    </w:p>
    <w:p w14:paraId="4E88CDF2" w14:textId="19D1EF02" w:rsidR="1822965A" w:rsidRPr="00B91E31" w:rsidRDefault="00CF315E" w:rsidP="00167DFE">
      <w:pPr>
        <w:pStyle w:val="ListParagraph"/>
        <w:numPr>
          <w:ilvl w:val="0"/>
          <w:numId w:val="9"/>
        </w:numPr>
        <w:rPr>
          <w:sz w:val="20"/>
          <w:szCs w:val="20"/>
        </w:rPr>
      </w:pPr>
      <w:r w:rsidRPr="00B91E31">
        <w:rPr>
          <w:sz w:val="20"/>
          <w:szCs w:val="20"/>
        </w:rPr>
        <w:t>A</w:t>
      </w:r>
      <w:r w:rsidR="1822965A" w:rsidRPr="00B91E31">
        <w:rPr>
          <w:sz w:val="20"/>
          <w:szCs w:val="20"/>
        </w:rPr>
        <w:t xml:space="preserve">ssessment </w:t>
      </w:r>
      <w:r w:rsidR="001C6246" w:rsidRPr="00B91E31">
        <w:rPr>
          <w:sz w:val="20"/>
          <w:szCs w:val="20"/>
        </w:rPr>
        <w:t>design and implementation</w:t>
      </w:r>
      <w:r w:rsidR="001C6246" w:rsidRPr="00B91E31" w:rsidDel="001C6246">
        <w:rPr>
          <w:sz w:val="20"/>
          <w:szCs w:val="20"/>
        </w:rPr>
        <w:t xml:space="preserve"> </w:t>
      </w:r>
    </w:p>
    <w:p w14:paraId="408179FC" w14:textId="36FF284D" w:rsidR="1822965A" w:rsidRPr="00B91E31" w:rsidRDefault="1822965A" w:rsidP="00167DFE">
      <w:pPr>
        <w:pStyle w:val="ListParagraph"/>
        <w:numPr>
          <w:ilvl w:val="0"/>
          <w:numId w:val="9"/>
        </w:numPr>
        <w:rPr>
          <w:sz w:val="20"/>
          <w:szCs w:val="20"/>
        </w:rPr>
      </w:pPr>
      <w:r w:rsidRPr="00B91E31">
        <w:rPr>
          <w:sz w:val="20"/>
          <w:szCs w:val="20"/>
        </w:rPr>
        <w:t xml:space="preserve">Academic integrity </w:t>
      </w:r>
    </w:p>
    <w:p w14:paraId="69F018A5" w14:textId="38402235" w:rsidR="009D330E" w:rsidRPr="00B91E31" w:rsidRDefault="009D330E" w:rsidP="00167DFE">
      <w:pPr>
        <w:pStyle w:val="ListParagraph"/>
        <w:numPr>
          <w:ilvl w:val="0"/>
          <w:numId w:val="9"/>
        </w:numPr>
        <w:rPr>
          <w:bCs/>
          <w:sz w:val="20"/>
          <w:szCs w:val="20"/>
        </w:rPr>
      </w:pPr>
      <w:r w:rsidRPr="00B91E31">
        <w:rPr>
          <w:sz w:val="20"/>
          <w:szCs w:val="20"/>
        </w:rPr>
        <w:t xml:space="preserve">Scholarly </w:t>
      </w:r>
      <w:r w:rsidR="00716EA6" w:rsidRPr="00B91E31">
        <w:rPr>
          <w:sz w:val="20"/>
          <w:szCs w:val="20"/>
        </w:rPr>
        <w:t>a</w:t>
      </w:r>
      <w:r w:rsidRPr="00B91E31">
        <w:rPr>
          <w:sz w:val="20"/>
          <w:szCs w:val="20"/>
        </w:rPr>
        <w:t>ctivity</w:t>
      </w:r>
      <w:r w:rsidRPr="00B91E31">
        <w:rPr>
          <w:bCs/>
          <w:sz w:val="20"/>
          <w:szCs w:val="20"/>
        </w:rPr>
        <w:t xml:space="preserve"> and Scholarship of Teaching and Learning (</w:t>
      </w:r>
      <w:proofErr w:type="spellStart"/>
      <w:r w:rsidRPr="00B91E31">
        <w:rPr>
          <w:bCs/>
          <w:sz w:val="20"/>
          <w:szCs w:val="20"/>
        </w:rPr>
        <w:t>SoTL</w:t>
      </w:r>
      <w:proofErr w:type="spellEnd"/>
      <w:r w:rsidRPr="00B91E31">
        <w:rPr>
          <w:bCs/>
          <w:sz w:val="20"/>
          <w:szCs w:val="20"/>
        </w:rPr>
        <w:t xml:space="preserve">) </w:t>
      </w:r>
    </w:p>
    <w:p w14:paraId="0B2584F2" w14:textId="75B9EFB4" w:rsidR="00A22752" w:rsidRPr="00B91E31" w:rsidRDefault="00A22752" w:rsidP="00167DFE">
      <w:pPr>
        <w:pStyle w:val="ListParagraph"/>
        <w:numPr>
          <w:ilvl w:val="0"/>
          <w:numId w:val="9"/>
        </w:numPr>
        <w:rPr>
          <w:sz w:val="20"/>
          <w:szCs w:val="20"/>
        </w:rPr>
      </w:pPr>
      <w:r w:rsidRPr="00B91E31">
        <w:rPr>
          <w:sz w:val="20"/>
          <w:szCs w:val="20"/>
        </w:rPr>
        <w:t xml:space="preserve">National and </w:t>
      </w:r>
      <w:r w:rsidR="006934B9" w:rsidRPr="00B91E31">
        <w:rPr>
          <w:sz w:val="20"/>
          <w:szCs w:val="20"/>
        </w:rPr>
        <w:t xml:space="preserve">international </w:t>
      </w:r>
      <w:r w:rsidR="00D807CA" w:rsidRPr="00B91E31">
        <w:rPr>
          <w:sz w:val="20"/>
          <w:szCs w:val="20"/>
        </w:rPr>
        <w:t>teaching awards and grants</w:t>
      </w:r>
    </w:p>
    <w:p w14:paraId="7266ADF4" w14:textId="77777777" w:rsidR="00FA7D5B" w:rsidRPr="00B91E31" w:rsidRDefault="00FA7D5B" w:rsidP="00FA7D5B">
      <w:pPr>
        <w:rPr>
          <w:sz w:val="20"/>
          <w:szCs w:val="20"/>
        </w:rPr>
      </w:pPr>
    </w:p>
    <w:p w14:paraId="76866DF6" w14:textId="426B2839" w:rsidR="004E7644" w:rsidRPr="00B91E31" w:rsidRDefault="004476C1" w:rsidP="004E7644">
      <w:pPr>
        <w:pStyle w:val="Heading2"/>
      </w:pPr>
      <w:r>
        <w:t xml:space="preserve">Corporate and </w:t>
      </w:r>
      <w:r w:rsidR="004E7644" w:rsidRPr="00B91E31">
        <w:t>Academic Governance</w:t>
      </w:r>
    </w:p>
    <w:p w14:paraId="1E356E08" w14:textId="4F6D221A" w:rsidR="004E7644" w:rsidRPr="00B91E31" w:rsidRDefault="004E7644" w:rsidP="004E7644">
      <w:pPr>
        <w:rPr>
          <w:sz w:val="20"/>
          <w:szCs w:val="20"/>
        </w:rPr>
      </w:pPr>
      <w:r w:rsidRPr="00B91E31">
        <w:rPr>
          <w:sz w:val="20"/>
          <w:szCs w:val="20"/>
        </w:rPr>
        <w:t xml:space="preserve">We have extensive experience as advisors and in senior roles in </w:t>
      </w:r>
      <w:r w:rsidR="004476C1">
        <w:rPr>
          <w:sz w:val="20"/>
          <w:szCs w:val="20"/>
        </w:rPr>
        <w:t xml:space="preserve">corporate and </w:t>
      </w:r>
      <w:r w:rsidRPr="00B91E31">
        <w:rPr>
          <w:sz w:val="20"/>
          <w:szCs w:val="20"/>
        </w:rPr>
        <w:t xml:space="preserve">academic governance as chairs, deputy chairs and members of </w:t>
      </w:r>
      <w:r w:rsidR="004476C1">
        <w:rPr>
          <w:sz w:val="20"/>
          <w:szCs w:val="20"/>
        </w:rPr>
        <w:t xml:space="preserve">Boards of Directors and </w:t>
      </w:r>
      <w:r w:rsidRPr="00B91E31">
        <w:rPr>
          <w:sz w:val="20"/>
          <w:szCs w:val="20"/>
        </w:rPr>
        <w:t xml:space="preserve">Academic Boards of universities and private higher education institutions. </w:t>
      </w:r>
    </w:p>
    <w:p w14:paraId="02CADF88" w14:textId="77777777" w:rsidR="004E7644" w:rsidRPr="00B91E31" w:rsidRDefault="004E7644" w:rsidP="004E7644">
      <w:pPr>
        <w:rPr>
          <w:sz w:val="20"/>
          <w:szCs w:val="20"/>
        </w:rPr>
      </w:pPr>
      <w:r w:rsidRPr="00B91E31">
        <w:rPr>
          <w:sz w:val="20"/>
          <w:szCs w:val="20"/>
        </w:rPr>
        <w:t xml:space="preserve">HEED </w:t>
      </w:r>
    </w:p>
    <w:p w14:paraId="3BEE27D8" w14:textId="6820BCCF" w:rsidR="004E7644" w:rsidRPr="00B91E31" w:rsidRDefault="004E7644" w:rsidP="004E7644">
      <w:pPr>
        <w:pStyle w:val="ListParagraph"/>
        <w:numPr>
          <w:ilvl w:val="0"/>
          <w:numId w:val="7"/>
        </w:numPr>
        <w:rPr>
          <w:b/>
          <w:sz w:val="20"/>
          <w:szCs w:val="20"/>
        </w:rPr>
      </w:pPr>
      <w:r w:rsidRPr="00B91E31">
        <w:rPr>
          <w:sz w:val="20"/>
          <w:szCs w:val="20"/>
        </w:rPr>
        <w:t xml:space="preserve">advises </w:t>
      </w:r>
      <w:r>
        <w:rPr>
          <w:sz w:val="20"/>
          <w:szCs w:val="20"/>
        </w:rPr>
        <w:t xml:space="preserve">start-ups and established institutions </w:t>
      </w:r>
      <w:r w:rsidRPr="00B91E31">
        <w:rPr>
          <w:sz w:val="20"/>
          <w:szCs w:val="20"/>
        </w:rPr>
        <w:t xml:space="preserve">on policy and good practice in relation to </w:t>
      </w:r>
      <w:r w:rsidR="004476C1">
        <w:rPr>
          <w:sz w:val="20"/>
          <w:szCs w:val="20"/>
        </w:rPr>
        <w:t xml:space="preserve">corporate and </w:t>
      </w:r>
      <w:r w:rsidRPr="00B91E31">
        <w:rPr>
          <w:sz w:val="20"/>
          <w:szCs w:val="20"/>
        </w:rPr>
        <w:t>academic governance</w:t>
      </w:r>
    </w:p>
    <w:p w14:paraId="3A7B4F3B" w14:textId="77777777" w:rsidR="004E7644" w:rsidRPr="00B91E31" w:rsidRDefault="004E7644" w:rsidP="004E7644">
      <w:pPr>
        <w:pStyle w:val="ListParagraph"/>
        <w:numPr>
          <w:ilvl w:val="0"/>
          <w:numId w:val="7"/>
        </w:numPr>
        <w:rPr>
          <w:b/>
          <w:sz w:val="20"/>
          <w:szCs w:val="20"/>
        </w:rPr>
      </w:pPr>
      <w:r w:rsidRPr="00B91E31">
        <w:rPr>
          <w:sz w:val="20"/>
          <w:szCs w:val="20"/>
        </w:rPr>
        <w:t>supports the work of institutional and disciplinary learning and teaching committees by providing mentoring and independent membership</w:t>
      </w:r>
    </w:p>
    <w:p w14:paraId="279B5909" w14:textId="37BF468F" w:rsidR="004E7644" w:rsidRPr="00C0404C" w:rsidRDefault="004E7644" w:rsidP="004E7644">
      <w:pPr>
        <w:pStyle w:val="ListParagraph"/>
        <w:numPr>
          <w:ilvl w:val="0"/>
          <w:numId w:val="7"/>
        </w:numPr>
        <w:rPr>
          <w:b/>
          <w:sz w:val="20"/>
          <w:szCs w:val="20"/>
        </w:rPr>
      </w:pPr>
      <w:r w:rsidRPr="00B91E31">
        <w:rPr>
          <w:sz w:val="20"/>
          <w:szCs w:val="20"/>
        </w:rPr>
        <w:t>contributes to the induction and training of</w:t>
      </w:r>
      <w:r w:rsidR="004476C1">
        <w:rPr>
          <w:sz w:val="20"/>
          <w:szCs w:val="20"/>
        </w:rPr>
        <w:t xml:space="preserve"> Board of Directors and</w:t>
      </w:r>
      <w:r w:rsidRPr="00B91E31">
        <w:rPr>
          <w:sz w:val="20"/>
          <w:szCs w:val="20"/>
        </w:rPr>
        <w:t xml:space="preserve"> Academic Board members in the private higher education sector, introducing them to the Australian Higher Education Standards Framework and the work of Boards in enhancing governance</w:t>
      </w:r>
    </w:p>
    <w:p w14:paraId="1CA731E2" w14:textId="71E604AA" w:rsidR="0020059F" w:rsidRPr="00C0404C" w:rsidRDefault="0020059F" w:rsidP="0020059F">
      <w:pPr>
        <w:pStyle w:val="ListParagraph"/>
        <w:numPr>
          <w:ilvl w:val="0"/>
          <w:numId w:val="7"/>
        </w:numPr>
        <w:rPr>
          <w:sz w:val="20"/>
          <w:szCs w:val="20"/>
        </w:rPr>
      </w:pPr>
      <w:r w:rsidRPr="0020059F">
        <w:rPr>
          <w:sz w:val="20"/>
          <w:szCs w:val="20"/>
        </w:rPr>
        <w:t>recruit</w:t>
      </w:r>
      <w:r>
        <w:rPr>
          <w:sz w:val="20"/>
          <w:szCs w:val="20"/>
        </w:rPr>
        <w:t>s</w:t>
      </w:r>
      <w:r w:rsidRPr="0020059F">
        <w:rPr>
          <w:sz w:val="20"/>
          <w:szCs w:val="20"/>
        </w:rPr>
        <w:t xml:space="preserve"> and brief</w:t>
      </w:r>
      <w:r>
        <w:rPr>
          <w:sz w:val="20"/>
          <w:szCs w:val="20"/>
        </w:rPr>
        <w:t>s</w:t>
      </w:r>
      <w:r w:rsidRPr="0020059F">
        <w:rPr>
          <w:sz w:val="20"/>
          <w:szCs w:val="20"/>
        </w:rPr>
        <w:t xml:space="preserve"> external specialist reviewers of course</w:t>
      </w:r>
      <w:r>
        <w:rPr>
          <w:sz w:val="20"/>
          <w:szCs w:val="20"/>
        </w:rPr>
        <w:t xml:space="preserve"> and </w:t>
      </w:r>
      <w:r w:rsidRPr="0020059F">
        <w:rPr>
          <w:sz w:val="20"/>
          <w:szCs w:val="20"/>
        </w:rPr>
        <w:t xml:space="preserve">academic governance </w:t>
      </w:r>
      <w:r w:rsidR="00115564">
        <w:rPr>
          <w:sz w:val="20"/>
          <w:szCs w:val="20"/>
        </w:rPr>
        <w:t>and works with institutions to respond to recommendations</w:t>
      </w:r>
    </w:p>
    <w:p w14:paraId="71700580" w14:textId="77777777" w:rsidR="00D252AF" w:rsidRPr="00B91E31" w:rsidRDefault="00D252AF" w:rsidP="00B91E31">
      <w:pPr>
        <w:pStyle w:val="Heading2"/>
      </w:pPr>
      <w:r w:rsidRPr="00B91E31">
        <w:t>Evaluation</w:t>
      </w:r>
      <w:r w:rsidR="00BA04FD" w:rsidRPr="00B91E31">
        <w:t xml:space="preserve"> and Review </w:t>
      </w:r>
    </w:p>
    <w:p w14:paraId="718FE70C" w14:textId="6CA7B906" w:rsidR="00BA04FD" w:rsidRPr="00B91E31" w:rsidRDefault="00BA04FD" w:rsidP="00167DFE">
      <w:pPr>
        <w:rPr>
          <w:sz w:val="20"/>
          <w:szCs w:val="20"/>
        </w:rPr>
      </w:pPr>
      <w:r w:rsidRPr="00B91E31">
        <w:rPr>
          <w:sz w:val="20"/>
          <w:szCs w:val="20"/>
        </w:rPr>
        <w:t>We have extensive international and national experience in reviewing organisational units, educational programs and initiatives, providing concise reports and recommendations to support the future direction</w:t>
      </w:r>
      <w:r w:rsidR="001B3AA3" w:rsidRPr="00B91E31">
        <w:rPr>
          <w:sz w:val="20"/>
          <w:szCs w:val="20"/>
        </w:rPr>
        <w:t>s</w:t>
      </w:r>
      <w:r w:rsidRPr="00B91E31">
        <w:rPr>
          <w:sz w:val="20"/>
          <w:szCs w:val="20"/>
        </w:rPr>
        <w:t xml:space="preserve"> of organisation</w:t>
      </w:r>
      <w:r w:rsidR="00A22752" w:rsidRPr="00B91E31">
        <w:rPr>
          <w:sz w:val="20"/>
          <w:szCs w:val="20"/>
        </w:rPr>
        <w:t>s</w:t>
      </w:r>
      <w:r w:rsidRPr="00B91E31">
        <w:rPr>
          <w:sz w:val="20"/>
          <w:szCs w:val="20"/>
        </w:rPr>
        <w:t xml:space="preserve"> and initiatives. </w:t>
      </w:r>
      <w:r w:rsidR="00C417F8" w:rsidRPr="00B91E31">
        <w:rPr>
          <w:sz w:val="20"/>
          <w:szCs w:val="20"/>
        </w:rPr>
        <w:t xml:space="preserve">We have </w:t>
      </w:r>
      <w:r w:rsidR="0052737A" w:rsidRPr="00B91E31">
        <w:rPr>
          <w:sz w:val="20"/>
          <w:szCs w:val="20"/>
        </w:rPr>
        <w:t xml:space="preserve">considerable </w:t>
      </w:r>
      <w:r w:rsidR="00C417F8" w:rsidRPr="00B91E31">
        <w:rPr>
          <w:sz w:val="20"/>
          <w:szCs w:val="20"/>
        </w:rPr>
        <w:t>experience serving as Chairs and panel members of organisational reviews throughout Australia and internationally, e</w:t>
      </w:r>
      <w:r w:rsidR="0068615E" w:rsidRPr="00B91E31">
        <w:rPr>
          <w:sz w:val="20"/>
          <w:szCs w:val="20"/>
        </w:rPr>
        <w:t>.</w:t>
      </w:r>
      <w:r w:rsidR="00C417F8" w:rsidRPr="00B91E31">
        <w:rPr>
          <w:sz w:val="20"/>
          <w:szCs w:val="20"/>
        </w:rPr>
        <w:t>g</w:t>
      </w:r>
      <w:r w:rsidR="0068615E" w:rsidRPr="00B91E31">
        <w:rPr>
          <w:sz w:val="20"/>
          <w:szCs w:val="20"/>
        </w:rPr>
        <w:t>. Sweden, Hong Kong</w:t>
      </w:r>
      <w:r w:rsidR="0052737A" w:rsidRPr="00B91E31">
        <w:rPr>
          <w:sz w:val="20"/>
          <w:szCs w:val="20"/>
        </w:rPr>
        <w:t>, New Zealand</w:t>
      </w:r>
      <w:r w:rsidR="004E7644">
        <w:rPr>
          <w:sz w:val="20"/>
          <w:szCs w:val="20"/>
        </w:rPr>
        <w:t>, Pakistan</w:t>
      </w:r>
      <w:r w:rsidR="00C417F8" w:rsidRPr="00B91E31">
        <w:rPr>
          <w:sz w:val="20"/>
          <w:szCs w:val="20"/>
        </w:rPr>
        <w:t xml:space="preserve"> </w:t>
      </w:r>
      <w:r w:rsidR="0068615E" w:rsidRPr="00B91E31">
        <w:rPr>
          <w:sz w:val="20"/>
          <w:szCs w:val="20"/>
        </w:rPr>
        <w:t xml:space="preserve">and </w:t>
      </w:r>
      <w:r w:rsidR="00C417F8" w:rsidRPr="00B91E31">
        <w:rPr>
          <w:sz w:val="20"/>
          <w:szCs w:val="20"/>
        </w:rPr>
        <w:t>Mauritius.</w:t>
      </w:r>
    </w:p>
    <w:p w14:paraId="5003A480" w14:textId="77777777" w:rsidR="008A49A4" w:rsidRPr="00B91E31" w:rsidRDefault="001B3AA3" w:rsidP="00167DFE">
      <w:pPr>
        <w:rPr>
          <w:sz w:val="20"/>
          <w:szCs w:val="20"/>
        </w:rPr>
      </w:pPr>
      <w:r w:rsidRPr="00B91E31">
        <w:rPr>
          <w:sz w:val="20"/>
          <w:szCs w:val="20"/>
        </w:rPr>
        <w:lastRenderedPageBreak/>
        <w:t>Effective evaluation requires appropriate and</w:t>
      </w:r>
      <w:r w:rsidR="00A22752" w:rsidRPr="00B91E31">
        <w:rPr>
          <w:sz w:val="20"/>
          <w:szCs w:val="20"/>
        </w:rPr>
        <w:t xml:space="preserve"> targeted indicators. </w:t>
      </w:r>
    </w:p>
    <w:p w14:paraId="63C847E7" w14:textId="0B8D8A69" w:rsidR="0089440C" w:rsidRPr="00B91E31" w:rsidRDefault="0089440C" w:rsidP="00167DFE">
      <w:pPr>
        <w:rPr>
          <w:sz w:val="20"/>
          <w:szCs w:val="20"/>
        </w:rPr>
      </w:pPr>
      <w:r w:rsidRPr="00B91E31">
        <w:rPr>
          <w:sz w:val="20"/>
          <w:szCs w:val="20"/>
        </w:rPr>
        <w:t>HEED can</w:t>
      </w:r>
    </w:p>
    <w:p w14:paraId="2C5D8686" w14:textId="77777777" w:rsidR="0089440C" w:rsidRPr="00B91E31" w:rsidRDefault="00A22752" w:rsidP="00167DFE">
      <w:pPr>
        <w:pStyle w:val="ListParagraph"/>
        <w:numPr>
          <w:ilvl w:val="0"/>
          <w:numId w:val="11"/>
        </w:numPr>
        <w:rPr>
          <w:sz w:val="20"/>
          <w:szCs w:val="20"/>
        </w:rPr>
      </w:pPr>
      <w:r w:rsidRPr="00B91E31">
        <w:rPr>
          <w:sz w:val="20"/>
          <w:szCs w:val="20"/>
        </w:rPr>
        <w:t xml:space="preserve">design and implement </w:t>
      </w:r>
      <w:r w:rsidR="0082259C" w:rsidRPr="00B91E31">
        <w:rPr>
          <w:sz w:val="20"/>
          <w:szCs w:val="20"/>
        </w:rPr>
        <w:t xml:space="preserve">effective educational indicators with </w:t>
      </w:r>
      <w:r w:rsidR="0068615E" w:rsidRPr="00B91E31">
        <w:rPr>
          <w:sz w:val="20"/>
          <w:szCs w:val="20"/>
        </w:rPr>
        <w:t>clients</w:t>
      </w:r>
      <w:r w:rsidR="0082259C" w:rsidRPr="00B91E31">
        <w:rPr>
          <w:sz w:val="20"/>
          <w:szCs w:val="20"/>
        </w:rPr>
        <w:t xml:space="preserve"> to inform teachers, program</w:t>
      </w:r>
      <w:r w:rsidR="00C639B1" w:rsidRPr="00B91E31">
        <w:rPr>
          <w:sz w:val="20"/>
          <w:szCs w:val="20"/>
        </w:rPr>
        <w:t>s</w:t>
      </w:r>
      <w:r w:rsidR="0082259C" w:rsidRPr="00B91E31">
        <w:rPr>
          <w:sz w:val="20"/>
          <w:szCs w:val="20"/>
        </w:rPr>
        <w:t xml:space="preserve"> of study, </w:t>
      </w:r>
      <w:r w:rsidR="0068615E" w:rsidRPr="00B91E31">
        <w:rPr>
          <w:sz w:val="20"/>
          <w:szCs w:val="20"/>
        </w:rPr>
        <w:t>s</w:t>
      </w:r>
      <w:r w:rsidR="0082259C" w:rsidRPr="00B91E31">
        <w:rPr>
          <w:sz w:val="20"/>
          <w:szCs w:val="20"/>
        </w:rPr>
        <w:t>chools and institution</w:t>
      </w:r>
      <w:r w:rsidR="00C639B1" w:rsidRPr="00B91E31">
        <w:rPr>
          <w:sz w:val="20"/>
          <w:szCs w:val="20"/>
        </w:rPr>
        <w:t>s</w:t>
      </w:r>
      <w:r w:rsidR="0082259C" w:rsidRPr="00B91E31">
        <w:rPr>
          <w:sz w:val="20"/>
          <w:szCs w:val="20"/>
        </w:rPr>
        <w:t xml:space="preserve"> on the </w:t>
      </w:r>
      <w:r w:rsidR="0068615E" w:rsidRPr="00B91E31">
        <w:rPr>
          <w:sz w:val="20"/>
          <w:szCs w:val="20"/>
        </w:rPr>
        <w:t>impact</w:t>
      </w:r>
      <w:r w:rsidR="0082259C" w:rsidRPr="00B91E31">
        <w:rPr>
          <w:sz w:val="20"/>
          <w:szCs w:val="20"/>
        </w:rPr>
        <w:t xml:space="preserve"> of their teaching and the effectiveness of the </w:t>
      </w:r>
      <w:r w:rsidR="0068615E" w:rsidRPr="00B91E31">
        <w:rPr>
          <w:sz w:val="20"/>
          <w:szCs w:val="20"/>
        </w:rPr>
        <w:t>s</w:t>
      </w:r>
      <w:r w:rsidR="0082259C" w:rsidRPr="00B91E31">
        <w:rPr>
          <w:sz w:val="20"/>
          <w:szCs w:val="20"/>
        </w:rPr>
        <w:t>chools and institutions in supporting their students</w:t>
      </w:r>
      <w:r w:rsidR="00C639B1" w:rsidRPr="00B91E31">
        <w:rPr>
          <w:sz w:val="20"/>
          <w:szCs w:val="20"/>
        </w:rPr>
        <w:t>’</w:t>
      </w:r>
      <w:r w:rsidR="0082259C" w:rsidRPr="00B91E31">
        <w:rPr>
          <w:sz w:val="20"/>
          <w:szCs w:val="20"/>
        </w:rPr>
        <w:t xml:space="preserve"> learning and engagement</w:t>
      </w:r>
    </w:p>
    <w:p w14:paraId="65FA2803" w14:textId="4BF0318B" w:rsidR="008A49A4" w:rsidRPr="00B91E31" w:rsidRDefault="0082259C" w:rsidP="00167DFE">
      <w:pPr>
        <w:pStyle w:val="ListParagraph"/>
        <w:numPr>
          <w:ilvl w:val="0"/>
          <w:numId w:val="11"/>
        </w:numPr>
        <w:rPr>
          <w:sz w:val="20"/>
          <w:szCs w:val="20"/>
        </w:rPr>
      </w:pPr>
      <w:r w:rsidRPr="00B91E31">
        <w:rPr>
          <w:sz w:val="20"/>
          <w:szCs w:val="20"/>
        </w:rPr>
        <w:t>establish indicators of effectiveness and impact for professional development programs and initiatives from planning through to review</w:t>
      </w:r>
    </w:p>
    <w:p w14:paraId="38ACFAC9" w14:textId="3662C735" w:rsidR="0020059F" w:rsidRDefault="0020059F" w:rsidP="00167DFE">
      <w:pPr>
        <w:pStyle w:val="ListParagraph"/>
        <w:numPr>
          <w:ilvl w:val="0"/>
          <w:numId w:val="11"/>
        </w:numPr>
        <w:rPr>
          <w:sz w:val="20"/>
          <w:szCs w:val="20"/>
        </w:rPr>
      </w:pPr>
      <w:r>
        <w:rPr>
          <w:sz w:val="20"/>
          <w:szCs w:val="20"/>
        </w:rPr>
        <w:t xml:space="preserve">provide interim evaluations to </w:t>
      </w:r>
      <w:r w:rsidR="00AA2F3B">
        <w:rPr>
          <w:sz w:val="20"/>
          <w:szCs w:val="20"/>
        </w:rPr>
        <w:t>guide</w:t>
      </w:r>
      <w:r>
        <w:rPr>
          <w:sz w:val="20"/>
          <w:szCs w:val="20"/>
        </w:rPr>
        <w:t xml:space="preserve"> the continuing development of a program</w:t>
      </w:r>
    </w:p>
    <w:p w14:paraId="3F3C84EF" w14:textId="7E66613A" w:rsidR="008A49A4" w:rsidRPr="00B91E31" w:rsidRDefault="0052737A" w:rsidP="00167DFE">
      <w:pPr>
        <w:pStyle w:val="ListParagraph"/>
        <w:numPr>
          <w:ilvl w:val="0"/>
          <w:numId w:val="11"/>
        </w:numPr>
        <w:rPr>
          <w:sz w:val="20"/>
          <w:szCs w:val="20"/>
        </w:rPr>
      </w:pPr>
      <w:r w:rsidRPr="00B91E31">
        <w:rPr>
          <w:sz w:val="20"/>
          <w:szCs w:val="20"/>
        </w:rPr>
        <w:t>chair or act as panel members of institutional, departmental, program and course reviews</w:t>
      </w:r>
    </w:p>
    <w:p w14:paraId="297E29A8" w14:textId="76383C01" w:rsidR="0052737A" w:rsidRPr="00B91E31" w:rsidRDefault="00465FB9" w:rsidP="00167DFE">
      <w:pPr>
        <w:pStyle w:val="ListParagraph"/>
        <w:numPr>
          <w:ilvl w:val="0"/>
          <w:numId w:val="11"/>
        </w:numPr>
        <w:rPr>
          <w:sz w:val="20"/>
          <w:szCs w:val="20"/>
        </w:rPr>
      </w:pPr>
      <w:r w:rsidRPr="00B91E31">
        <w:rPr>
          <w:sz w:val="20"/>
          <w:szCs w:val="20"/>
        </w:rPr>
        <w:t>work with clients to respond to evaluation and review recommendations</w:t>
      </w:r>
      <w:r w:rsidR="00982DC1" w:rsidRPr="00B91E31">
        <w:rPr>
          <w:sz w:val="20"/>
          <w:szCs w:val="20"/>
        </w:rPr>
        <w:t>, including those from national quality agencies (such as TEQSA in Australia)</w:t>
      </w:r>
    </w:p>
    <w:p w14:paraId="0EC8924D" w14:textId="77777777" w:rsidR="00D807CA" w:rsidRPr="00B91E31" w:rsidRDefault="00D807CA" w:rsidP="00B91E31">
      <w:pPr>
        <w:pStyle w:val="Heading2"/>
      </w:pPr>
      <w:r w:rsidRPr="00B91E31">
        <w:t>Institutional planning and strategy for teaching quality</w:t>
      </w:r>
    </w:p>
    <w:p w14:paraId="36E99D5C" w14:textId="44829E6E" w:rsidR="004C0874" w:rsidRPr="00B91E31" w:rsidRDefault="00D807CA" w:rsidP="00167DFE">
      <w:pPr>
        <w:rPr>
          <w:sz w:val="20"/>
          <w:szCs w:val="20"/>
        </w:rPr>
      </w:pPr>
      <w:r w:rsidRPr="00B91E31">
        <w:rPr>
          <w:sz w:val="20"/>
          <w:szCs w:val="20"/>
        </w:rPr>
        <w:t xml:space="preserve">We have considerable expertise in working with institutions to </w:t>
      </w:r>
      <w:r w:rsidR="0020059F">
        <w:rPr>
          <w:sz w:val="20"/>
          <w:szCs w:val="20"/>
        </w:rPr>
        <w:t xml:space="preserve">(1) establish and (2) </w:t>
      </w:r>
      <w:r w:rsidRPr="00B91E31">
        <w:rPr>
          <w:sz w:val="20"/>
          <w:szCs w:val="20"/>
        </w:rPr>
        <w:t>design strategic interventions for enhancing teaching quality informed by sectoral best practice and benchmarked against robust indicators. Our Senior Consultants have</w:t>
      </w:r>
      <w:r w:rsidR="0089440C" w:rsidRPr="00B91E31">
        <w:rPr>
          <w:sz w:val="20"/>
          <w:szCs w:val="20"/>
        </w:rPr>
        <w:t xml:space="preserve"> </w:t>
      </w:r>
      <w:r w:rsidRPr="00B91E31">
        <w:rPr>
          <w:sz w:val="20"/>
          <w:szCs w:val="20"/>
        </w:rPr>
        <w:t xml:space="preserve">worked with public and private institutions </w:t>
      </w:r>
      <w:r w:rsidR="004C0874" w:rsidRPr="00B91E31">
        <w:rPr>
          <w:sz w:val="20"/>
          <w:szCs w:val="20"/>
        </w:rPr>
        <w:t xml:space="preserve">across Australia </w:t>
      </w:r>
      <w:r w:rsidR="003B278F" w:rsidRPr="00B91E31">
        <w:rPr>
          <w:sz w:val="20"/>
          <w:szCs w:val="20"/>
        </w:rPr>
        <w:t>and internationally</w:t>
      </w:r>
      <w:r w:rsidR="0089440C" w:rsidRPr="00B91E31">
        <w:rPr>
          <w:sz w:val="20"/>
          <w:szCs w:val="20"/>
        </w:rPr>
        <w:t>.</w:t>
      </w:r>
    </w:p>
    <w:p w14:paraId="6D5B0C9F" w14:textId="088DCF17" w:rsidR="0089440C" w:rsidRPr="00B91E31" w:rsidRDefault="003B278F" w:rsidP="00167DFE">
      <w:pPr>
        <w:rPr>
          <w:sz w:val="20"/>
          <w:szCs w:val="20"/>
        </w:rPr>
      </w:pPr>
      <w:r w:rsidRPr="00B91E31">
        <w:rPr>
          <w:sz w:val="20"/>
          <w:szCs w:val="20"/>
        </w:rPr>
        <w:t xml:space="preserve">HEED </w:t>
      </w:r>
    </w:p>
    <w:p w14:paraId="5A379833" w14:textId="3331A607" w:rsidR="003B278F" w:rsidRPr="00B91E31" w:rsidRDefault="003B278F" w:rsidP="00167DFE">
      <w:pPr>
        <w:pStyle w:val="ListParagraph"/>
        <w:numPr>
          <w:ilvl w:val="0"/>
          <w:numId w:val="14"/>
        </w:numPr>
        <w:rPr>
          <w:sz w:val="20"/>
          <w:szCs w:val="20"/>
        </w:rPr>
      </w:pPr>
      <w:r w:rsidRPr="00B91E31">
        <w:rPr>
          <w:sz w:val="20"/>
          <w:szCs w:val="20"/>
        </w:rPr>
        <w:t>assesses academic planning and review processes to ensure for teaching quality improvement</w:t>
      </w:r>
    </w:p>
    <w:p w14:paraId="6758E550" w14:textId="483DEE08" w:rsidR="003B278F" w:rsidRPr="00B91E31" w:rsidRDefault="003B278F" w:rsidP="00167DFE">
      <w:pPr>
        <w:pStyle w:val="ListParagraph"/>
        <w:numPr>
          <w:ilvl w:val="0"/>
          <w:numId w:val="14"/>
        </w:numPr>
        <w:rPr>
          <w:sz w:val="20"/>
          <w:szCs w:val="20"/>
        </w:rPr>
      </w:pPr>
      <w:r w:rsidRPr="00B91E31">
        <w:rPr>
          <w:sz w:val="20"/>
          <w:szCs w:val="20"/>
        </w:rPr>
        <w:t>supports and develops academic leadership to respond to current and future challenges</w:t>
      </w:r>
    </w:p>
    <w:p w14:paraId="5E9A7B0E" w14:textId="62EE6139" w:rsidR="00D252AF" w:rsidRPr="00B91E31" w:rsidRDefault="00D252AF" w:rsidP="00B91E31">
      <w:pPr>
        <w:pStyle w:val="Heading2"/>
      </w:pPr>
      <w:r w:rsidRPr="00B91E31">
        <w:t>Academic</w:t>
      </w:r>
      <w:r w:rsidR="00A22752" w:rsidRPr="00B91E31">
        <w:t xml:space="preserve"> and </w:t>
      </w:r>
      <w:r w:rsidR="00C639B1" w:rsidRPr="00B91E31">
        <w:t>E</w:t>
      </w:r>
      <w:r w:rsidR="00A22752" w:rsidRPr="00B91E31">
        <w:t xml:space="preserve">ducational </w:t>
      </w:r>
      <w:r w:rsidR="00C639B1" w:rsidRPr="00B91E31">
        <w:t>D</w:t>
      </w:r>
      <w:r w:rsidR="00A22752" w:rsidRPr="00B91E31">
        <w:t xml:space="preserve">evelopment </w:t>
      </w:r>
    </w:p>
    <w:p w14:paraId="676FBE8C" w14:textId="0F2FA95F" w:rsidR="00D252AF" w:rsidRPr="00B91E31" w:rsidRDefault="00D252AF" w:rsidP="00167DFE">
      <w:pPr>
        <w:rPr>
          <w:sz w:val="20"/>
          <w:szCs w:val="20"/>
        </w:rPr>
      </w:pPr>
      <w:r w:rsidRPr="00B91E31">
        <w:rPr>
          <w:sz w:val="20"/>
          <w:szCs w:val="20"/>
        </w:rPr>
        <w:t xml:space="preserve">Our </w:t>
      </w:r>
      <w:r w:rsidR="004C0874" w:rsidRPr="00B91E31">
        <w:rPr>
          <w:sz w:val="20"/>
          <w:szCs w:val="20"/>
        </w:rPr>
        <w:t xml:space="preserve">Senior Consultants </w:t>
      </w:r>
      <w:r w:rsidRPr="00B91E31">
        <w:rPr>
          <w:sz w:val="20"/>
          <w:szCs w:val="20"/>
        </w:rPr>
        <w:t>have established and run centres for teaching and learning for leading Australian universities and have worke</w:t>
      </w:r>
      <w:r w:rsidR="00C639B1" w:rsidRPr="00B91E31">
        <w:rPr>
          <w:sz w:val="20"/>
          <w:szCs w:val="20"/>
        </w:rPr>
        <w:t xml:space="preserve">d with all levels </w:t>
      </w:r>
      <w:r w:rsidR="003B278F" w:rsidRPr="00B91E31">
        <w:rPr>
          <w:sz w:val="20"/>
          <w:szCs w:val="20"/>
        </w:rPr>
        <w:t>in</w:t>
      </w:r>
      <w:r w:rsidR="00C639B1" w:rsidRPr="00B91E31">
        <w:rPr>
          <w:sz w:val="20"/>
          <w:szCs w:val="20"/>
        </w:rPr>
        <w:t xml:space="preserve"> universities </w:t>
      </w:r>
      <w:r w:rsidR="003B278F" w:rsidRPr="00B91E31">
        <w:rPr>
          <w:sz w:val="20"/>
          <w:szCs w:val="20"/>
        </w:rPr>
        <w:t xml:space="preserve">and higher education institutions </w:t>
      </w:r>
      <w:r w:rsidRPr="00B91E31">
        <w:rPr>
          <w:sz w:val="20"/>
          <w:szCs w:val="20"/>
        </w:rPr>
        <w:t xml:space="preserve">to support teaching, curriculum planning, and </w:t>
      </w:r>
      <w:r w:rsidR="0068615E" w:rsidRPr="00B91E31">
        <w:rPr>
          <w:sz w:val="20"/>
          <w:szCs w:val="20"/>
        </w:rPr>
        <w:t>deliver</w:t>
      </w:r>
      <w:r w:rsidRPr="00B91E31">
        <w:rPr>
          <w:sz w:val="20"/>
          <w:szCs w:val="20"/>
        </w:rPr>
        <w:t xml:space="preserve"> professional development for Deputy Vice Chancellors, Deans, Associate Deans, course and unit coordinators, lecturers, tutors and academic developers.</w:t>
      </w:r>
    </w:p>
    <w:p w14:paraId="44EDE15E" w14:textId="14EDDB67" w:rsidR="00D252AF" w:rsidRPr="00B91E31" w:rsidRDefault="0089440C" w:rsidP="00167DFE">
      <w:pPr>
        <w:rPr>
          <w:sz w:val="20"/>
          <w:szCs w:val="20"/>
        </w:rPr>
      </w:pPr>
      <w:r w:rsidRPr="00B91E31">
        <w:rPr>
          <w:sz w:val="20"/>
          <w:szCs w:val="20"/>
        </w:rPr>
        <w:t xml:space="preserve">HEED </w:t>
      </w:r>
      <w:r w:rsidR="00D252AF" w:rsidRPr="00B91E31">
        <w:rPr>
          <w:sz w:val="20"/>
          <w:szCs w:val="20"/>
        </w:rPr>
        <w:t>provid</w:t>
      </w:r>
      <w:r w:rsidR="00FD5B11" w:rsidRPr="00B91E31">
        <w:rPr>
          <w:sz w:val="20"/>
          <w:szCs w:val="20"/>
        </w:rPr>
        <w:t>e</w:t>
      </w:r>
      <w:r w:rsidRPr="00B91E31">
        <w:rPr>
          <w:sz w:val="20"/>
          <w:szCs w:val="20"/>
        </w:rPr>
        <w:t>s</w:t>
      </w:r>
    </w:p>
    <w:p w14:paraId="74EBAB30" w14:textId="2A4AFD6E" w:rsidR="00C639B1" w:rsidRPr="00B91E31" w:rsidRDefault="00535F8A" w:rsidP="00167DFE">
      <w:pPr>
        <w:pStyle w:val="ListParagraph"/>
        <w:numPr>
          <w:ilvl w:val="0"/>
          <w:numId w:val="8"/>
        </w:numPr>
        <w:rPr>
          <w:sz w:val="20"/>
          <w:szCs w:val="20"/>
        </w:rPr>
      </w:pPr>
      <w:r w:rsidRPr="00B91E31">
        <w:rPr>
          <w:sz w:val="20"/>
          <w:szCs w:val="20"/>
        </w:rPr>
        <w:t>institutional strategies for developing academic criteria and standards</w:t>
      </w:r>
    </w:p>
    <w:p w14:paraId="250F321F" w14:textId="77777777" w:rsidR="003B278F" w:rsidRPr="00B91E31" w:rsidRDefault="003B278F" w:rsidP="00167DFE">
      <w:pPr>
        <w:pStyle w:val="ListParagraph"/>
        <w:numPr>
          <w:ilvl w:val="0"/>
          <w:numId w:val="8"/>
        </w:numPr>
        <w:rPr>
          <w:sz w:val="20"/>
          <w:szCs w:val="20"/>
        </w:rPr>
      </w:pPr>
      <w:r w:rsidRPr="00B91E31">
        <w:rPr>
          <w:sz w:val="20"/>
          <w:szCs w:val="20"/>
        </w:rPr>
        <w:t xml:space="preserve">strategies and programs to promote student engagement and success </w:t>
      </w:r>
    </w:p>
    <w:p w14:paraId="10133AB0" w14:textId="6EF81C04" w:rsidR="00C639B1" w:rsidRPr="00B91E31" w:rsidRDefault="00535F8A" w:rsidP="00167DFE">
      <w:pPr>
        <w:pStyle w:val="ListParagraph"/>
        <w:numPr>
          <w:ilvl w:val="0"/>
          <w:numId w:val="8"/>
        </w:numPr>
        <w:rPr>
          <w:sz w:val="20"/>
          <w:szCs w:val="20"/>
        </w:rPr>
      </w:pPr>
      <w:r w:rsidRPr="00B91E31">
        <w:rPr>
          <w:sz w:val="20"/>
          <w:szCs w:val="20"/>
        </w:rPr>
        <w:t>strategy and resources for academics to evidence their practice</w:t>
      </w:r>
      <w:r w:rsidR="00D351BD" w:rsidRPr="00B91E31">
        <w:rPr>
          <w:sz w:val="20"/>
          <w:szCs w:val="20"/>
        </w:rPr>
        <w:t>, engage in peer review</w:t>
      </w:r>
      <w:r w:rsidRPr="00B91E31">
        <w:rPr>
          <w:sz w:val="20"/>
          <w:szCs w:val="20"/>
        </w:rPr>
        <w:t xml:space="preserve"> </w:t>
      </w:r>
      <w:r w:rsidR="00C57E72" w:rsidRPr="00B91E31">
        <w:rPr>
          <w:sz w:val="20"/>
          <w:szCs w:val="20"/>
        </w:rPr>
        <w:t xml:space="preserve">and build </w:t>
      </w:r>
      <w:r w:rsidR="00E35D00" w:rsidRPr="00B91E31">
        <w:rPr>
          <w:sz w:val="20"/>
          <w:szCs w:val="20"/>
        </w:rPr>
        <w:t xml:space="preserve">teaching </w:t>
      </w:r>
      <w:r w:rsidR="00C57E72" w:rsidRPr="00B91E31">
        <w:rPr>
          <w:sz w:val="20"/>
          <w:szCs w:val="20"/>
        </w:rPr>
        <w:t>portfolios</w:t>
      </w:r>
      <w:r w:rsidRPr="00B91E31">
        <w:rPr>
          <w:sz w:val="20"/>
          <w:szCs w:val="20"/>
        </w:rPr>
        <w:t xml:space="preserve"> </w:t>
      </w:r>
    </w:p>
    <w:p w14:paraId="5F527F6A" w14:textId="3A15C3D4" w:rsidR="00C639B1" w:rsidRPr="00B91E31" w:rsidRDefault="00535F8A" w:rsidP="00167DFE">
      <w:pPr>
        <w:pStyle w:val="ListParagraph"/>
        <w:numPr>
          <w:ilvl w:val="0"/>
          <w:numId w:val="8"/>
        </w:numPr>
        <w:rPr>
          <w:sz w:val="20"/>
          <w:szCs w:val="20"/>
        </w:rPr>
      </w:pPr>
      <w:r w:rsidRPr="00B91E31">
        <w:rPr>
          <w:sz w:val="20"/>
          <w:szCs w:val="20"/>
        </w:rPr>
        <w:t>support</w:t>
      </w:r>
      <w:r w:rsidR="00E35D00" w:rsidRPr="00B91E31">
        <w:rPr>
          <w:sz w:val="20"/>
          <w:szCs w:val="20"/>
        </w:rPr>
        <w:t>, mentoring</w:t>
      </w:r>
      <w:r w:rsidRPr="00B91E31">
        <w:rPr>
          <w:sz w:val="20"/>
          <w:szCs w:val="20"/>
        </w:rPr>
        <w:t xml:space="preserve"> and development for sessional staff and early career academics</w:t>
      </w:r>
    </w:p>
    <w:p w14:paraId="7AEEF72C" w14:textId="115B460E" w:rsidR="00D252AF" w:rsidRPr="00B91E31" w:rsidRDefault="00535F8A" w:rsidP="00167DFE">
      <w:pPr>
        <w:pStyle w:val="ListParagraph"/>
        <w:numPr>
          <w:ilvl w:val="0"/>
          <w:numId w:val="8"/>
        </w:numPr>
        <w:rPr>
          <w:sz w:val="20"/>
          <w:szCs w:val="20"/>
        </w:rPr>
      </w:pPr>
      <w:r w:rsidRPr="00B91E31">
        <w:rPr>
          <w:sz w:val="20"/>
          <w:szCs w:val="20"/>
        </w:rPr>
        <w:t xml:space="preserve">planning </w:t>
      </w:r>
      <w:r w:rsidR="00E35D00" w:rsidRPr="00B91E31">
        <w:rPr>
          <w:sz w:val="20"/>
          <w:szCs w:val="20"/>
        </w:rPr>
        <w:t xml:space="preserve">for </w:t>
      </w:r>
      <w:r w:rsidRPr="00B91E31">
        <w:rPr>
          <w:sz w:val="20"/>
          <w:szCs w:val="20"/>
        </w:rPr>
        <w:t>institution-</w:t>
      </w:r>
      <w:r w:rsidR="003B278F" w:rsidRPr="00B91E31">
        <w:rPr>
          <w:sz w:val="20"/>
          <w:szCs w:val="20"/>
        </w:rPr>
        <w:t xml:space="preserve"> and program-</w:t>
      </w:r>
      <w:r w:rsidRPr="00B91E31">
        <w:rPr>
          <w:sz w:val="20"/>
          <w:szCs w:val="20"/>
        </w:rPr>
        <w:t>wide curriculum renewal</w:t>
      </w:r>
    </w:p>
    <w:p w14:paraId="3C8D41E1" w14:textId="6C1DF15B" w:rsidR="009038E5" w:rsidRPr="00B91E31" w:rsidRDefault="00535F8A" w:rsidP="00167DFE">
      <w:pPr>
        <w:pStyle w:val="ListParagraph"/>
        <w:numPr>
          <w:ilvl w:val="0"/>
          <w:numId w:val="8"/>
        </w:numPr>
        <w:rPr>
          <w:sz w:val="20"/>
          <w:szCs w:val="20"/>
        </w:rPr>
      </w:pPr>
      <w:r w:rsidRPr="00B91E31">
        <w:rPr>
          <w:sz w:val="20"/>
          <w:szCs w:val="20"/>
        </w:rPr>
        <w:t>learning and teaching plans for all levels of an organisation</w:t>
      </w:r>
    </w:p>
    <w:p w14:paraId="122527FD" w14:textId="0133345F" w:rsidR="009038E5" w:rsidRPr="00B91E31" w:rsidRDefault="00535F8A" w:rsidP="00167DFE">
      <w:pPr>
        <w:pStyle w:val="ListParagraph"/>
        <w:numPr>
          <w:ilvl w:val="0"/>
          <w:numId w:val="8"/>
        </w:numPr>
        <w:rPr>
          <w:sz w:val="20"/>
          <w:szCs w:val="20"/>
        </w:rPr>
      </w:pPr>
      <w:r w:rsidRPr="00B91E31">
        <w:rPr>
          <w:sz w:val="20"/>
          <w:szCs w:val="20"/>
        </w:rPr>
        <w:t xml:space="preserve">institutional </w:t>
      </w:r>
      <w:r w:rsidR="00C639B1" w:rsidRPr="00B91E31">
        <w:rPr>
          <w:sz w:val="20"/>
          <w:szCs w:val="20"/>
        </w:rPr>
        <w:t>professional development with robust indicators of effectiveness and impact</w:t>
      </w:r>
    </w:p>
    <w:p w14:paraId="44A0FCB3" w14:textId="0584632C" w:rsidR="00166CCE" w:rsidRPr="00B91E31" w:rsidRDefault="00D252AF" w:rsidP="00B91E31">
      <w:pPr>
        <w:pStyle w:val="Heading2"/>
      </w:pPr>
      <w:r w:rsidRPr="00B91E31">
        <w:t xml:space="preserve">Course </w:t>
      </w:r>
      <w:r w:rsidR="00A22752" w:rsidRPr="00B91E31">
        <w:t xml:space="preserve">and Program </w:t>
      </w:r>
      <w:r w:rsidRPr="00B91E31">
        <w:t>Review</w:t>
      </w:r>
      <w:r w:rsidR="003B278F" w:rsidRPr="00B91E31">
        <w:t xml:space="preserve"> </w:t>
      </w:r>
    </w:p>
    <w:p w14:paraId="6F0B32A5" w14:textId="77777777" w:rsidR="008E5661" w:rsidRPr="00B91E31" w:rsidRDefault="008E5661" w:rsidP="00167DFE">
      <w:pPr>
        <w:rPr>
          <w:sz w:val="20"/>
          <w:szCs w:val="20"/>
        </w:rPr>
      </w:pPr>
      <w:r w:rsidRPr="00B91E31">
        <w:rPr>
          <w:sz w:val="20"/>
          <w:szCs w:val="20"/>
        </w:rPr>
        <w:t xml:space="preserve">We have </w:t>
      </w:r>
      <w:r w:rsidR="00C639B1" w:rsidRPr="00B91E31">
        <w:rPr>
          <w:sz w:val="20"/>
          <w:szCs w:val="20"/>
        </w:rPr>
        <w:t>served</w:t>
      </w:r>
      <w:r w:rsidRPr="00B91E31">
        <w:rPr>
          <w:sz w:val="20"/>
          <w:szCs w:val="20"/>
        </w:rPr>
        <w:t xml:space="preserve"> as course </w:t>
      </w:r>
      <w:r w:rsidR="007D7BDC" w:rsidRPr="00B91E31">
        <w:rPr>
          <w:sz w:val="20"/>
          <w:szCs w:val="20"/>
        </w:rPr>
        <w:t xml:space="preserve">and program </w:t>
      </w:r>
      <w:r w:rsidRPr="00B91E31">
        <w:rPr>
          <w:sz w:val="20"/>
          <w:szCs w:val="20"/>
        </w:rPr>
        <w:t xml:space="preserve">reviewers for universities and private higher education courses </w:t>
      </w:r>
      <w:r w:rsidR="007D7BDC" w:rsidRPr="00B91E31">
        <w:rPr>
          <w:sz w:val="20"/>
          <w:szCs w:val="20"/>
        </w:rPr>
        <w:t xml:space="preserve">throughout Australia and internationally including </w:t>
      </w:r>
      <w:r w:rsidRPr="00B91E31">
        <w:rPr>
          <w:sz w:val="20"/>
          <w:szCs w:val="20"/>
        </w:rPr>
        <w:t>Hong Kong and New Zealand</w:t>
      </w:r>
      <w:r w:rsidR="0068615E" w:rsidRPr="00B91E31">
        <w:rPr>
          <w:sz w:val="20"/>
          <w:szCs w:val="20"/>
        </w:rPr>
        <w:t>.</w:t>
      </w:r>
    </w:p>
    <w:p w14:paraId="1BA2D90F" w14:textId="112D8AEE" w:rsidR="008E5661" w:rsidRPr="00B91E31" w:rsidRDefault="0089440C" w:rsidP="00167DFE">
      <w:pPr>
        <w:rPr>
          <w:sz w:val="20"/>
          <w:szCs w:val="20"/>
        </w:rPr>
      </w:pPr>
      <w:r w:rsidRPr="00B91E31">
        <w:rPr>
          <w:sz w:val="20"/>
          <w:szCs w:val="20"/>
        </w:rPr>
        <w:t>HEED has</w:t>
      </w:r>
      <w:r w:rsidR="008E5661" w:rsidRPr="00B91E31">
        <w:rPr>
          <w:sz w:val="20"/>
          <w:szCs w:val="20"/>
        </w:rPr>
        <w:t xml:space="preserve"> expertise in reviewing</w:t>
      </w:r>
      <w:r w:rsidR="00CF315E" w:rsidRPr="00B91E31">
        <w:rPr>
          <w:sz w:val="20"/>
          <w:szCs w:val="20"/>
        </w:rPr>
        <w:t xml:space="preserve"> courses across all disciplines</w:t>
      </w:r>
    </w:p>
    <w:p w14:paraId="516DC454" w14:textId="77777777" w:rsidR="008E5661" w:rsidRPr="00B91E31" w:rsidRDefault="008E5661" w:rsidP="00167DFE">
      <w:pPr>
        <w:pStyle w:val="ListParagraph"/>
        <w:numPr>
          <w:ilvl w:val="0"/>
          <w:numId w:val="3"/>
        </w:numPr>
        <w:rPr>
          <w:sz w:val="20"/>
          <w:szCs w:val="20"/>
        </w:rPr>
      </w:pPr>
      <w:r w:rsidRPr="00B91E31">
        <w:rPr>
          <w:sz w:val="20"/>
          <w:szCs w:val="20"/>
        </w:rPr>
        <w:t>against national and international benchmarks</w:t>
      </w:r>
      <w:r w:rsidR="007D7BDC" w:rsidRPr="00B91E31">
        <w:rPr>
          <w:sz w:val="20"/>
          <w:szCs w:val="20"/>
        </w:rPr>
        <w:t xml:space="preserve"> </w:t>
      </w:r>
    </w:p>
    <w:p w14:paraId="7B11A6F9" w14:textId="1847F328" w:rsidR="008E5661" w:rsidRPr="00B91E31" w:rsidRDefault="008E5661" w:rsidP="00167DFE">
      <w:pPr>
        <w:pStyle w:val="ListParagraph"/>
        <w:numPr>
          <w:ilvl w:val="0"/>
          <w:numId w:val="3"/>
        </w:numPr>
        <w:rPr>
          <w:sz w:val="20"/>
          <w:szCs w:val="20"/>
        </w:rPr>
      </w:pPr>
      <w:r w:rsidRPr="00B91E31">
        <w:rPr>
          <w:sz w:val="20"/>
          <w:szCs w:val="20"/>
        </w:rPr>
        <w:t>to meet Australian Higher Education Standards</w:t>
      </w:r>
      <w:r w:rsidR="00C0404C">
        <w:rPr>
          <w:sz w:val="20"/>
          <w:szCs w:val="20"/>
        </w:rPr>
        <w:t xml:space="preserve"> as part of registration, accreditation and renewal</w:t>
      </w:r>
    </w:p>
    <w:p w14:paraId="6F3FA434" w14:textId="5E2A4B03" w:rsidR="008E5661" w:rsidRPr="00B91E31" w:rsidRDefault="008E5661" w:rsidP="00167DFE">
      <w:pPr>
        <w:pStyle w:val="ListParagraph"/>
        <w:numPr>
          <w:ilvl w:val="0"/>
          <w:numId w:val="3"/>
        </w:numPr>
        <w:rPr>
          <w:sz w:val="20"/>
          <w:szCs w:val="20"/>
        </w:rPr>
      </w:pPr>
      <w:r w:rsidRPr="00B91E31">
        <w:rPr>
          <w:sz w:val="20"/>
          <w:szCs w:val="20"/>
        </w:rPr>
        <w:t>learning outcomes and pedagogy</w:t>
      </w:r>
    </w:p>
    <w:p w14:paraId="5DDB4B4B" w14:textId="77777777" w:rsidR="00CF315E" w:rsidRPr="00B91E31" w:rsidRDefault="00CF315E" w:rsidP="00B91E31">
      <w:pPr>
        <w:pStyle w:val="Heading2"/>
      </w:pPr>
      <w:r w:rsidRPr="00B91E31">
        <w:t xml:space="preserve">Curriculum Planning and Evaluation </w:t>
      </w:r>
    </w:p>
    <w:p w14:paraId="1599A626" w14:textId="77777777" w:rsidR="00943B53" w:rsidRPr="00B91E31" w:rsidRDefault="00CF315E" w:rsidP="00167DFE">
      <w:pPr>
        <w:rPr>
          <w:sz w:val="20"/>
          <w:szCs w:val="20"/>
        </w:rPr>
      </w:pPr>
      <w:r w:rsidRPr="00B91E31">
        <w:rPr>
          <w:sz w:val="20"/>
          <w:szCs w:val="20"/>
        </w:rPr>
        <w:t xml:space="preserve">We have substantial experience </w:t>
      </w:r>
      <w:r w:rsidR="002C5A90" w:rsidRPr="00B91E31">
        <w:rPr>
          <w:sz w:val="20"/>
          <w:szCs w:val="20"/>
        </w:rPr>
        <w:t xml:space="preserve">leading and </w:t>
      </w:r>
      <w:r w:rsidRPr="00B91E31">
        <w:rPr>
          <w:sz w:val="20"/>
          <w:szCs w:val="20"/>
        </w:rPr>
        <w:t xml:space="preserve">working with curriculum teams inside and outside Australia to plan and design curriculum that has robust learning outcomes, powerful and consequential assessment and feedback and teaching and learning activities that engage students actively in- and out-of-class and online. </w:t>
      </w:r>
    </w:p>
    <w:p w14:paraId="40E45DA7" w14:textId="37FD9068" w:rsidR="00CF315E" w:rsidRPr="00B91E31" w:rsidRDefault="00CF315E" w:rsidP="00167DFE">
      <w:pPr>
        <w:rPr>
          <w:sz w:val="20"/>
          <w:szCs w:val="20"/>
        </w:rPr>
      </w:pPr>
      <w:r w:rsidRPr="00B91E31">
        <w:rPr>
          <w:sz w:val="20"/>
          <w:szCs w:val="20"/>
        </w:rPr>
        <w:lastRenderedPageBreak/>
        <w:t xml:space="preserve">HEED </w:t>
      </w:r>
    </w:p>
    <w:p w14:paraId="13E9AE9B" w14:textId="40C94892" w:rsidR="00CF315E" w:rsidRPr="00B91E31" w:rsidRDefault="00CF315E" w:rsidP="00167DFE">
      <w:pPr>
        <w:pStyle w:val="ListParagraph"/>
        <w:numPr>
          <w:ilvl w:val="0"/>
          <w:numId w:val="12"/>
        </w:numPr>
        <w:rPr>
          <w:sz w:val="20"/>
          <w:szCs w:val="20"/>
        </w:rPr>
      </w:pPr>
      <w:r w:rsidRPr="00B91E31">
        <w:rPr>
          <w:sz w:val="20"/>
          <w:szCs w:val="20"/>
        </w:rPr>
        <w:t>plans for ongoing evaluation to monitor and review the effectiveness of the curriculum and its ongoing development</w:t>
      </w:r>
    </w:p>
    <w:p w14:paraId="06DC291C" w14:textId="620B0B25" w:rsidR="00CF315E" w:rsidRPr="00B91E31" w:rsidRDefault="00CF315E" w:rsidP="00167DFE">
      <w:pPr>
        <w:pStyle w:val="ListParagraph"/>
        <w:numPr>
          <w:ilvl w:val="0"/>
          <w:numId w:val="12"/>
        </w:numPr>
        <w:rPr>
          <w:sz w:val="20"/>
          <w:szCs w:val="20"/>
        </w:rPr>
      </w:pPr>
      <w:r w:rsidRPr="00B91E31">
        <w:rPr>
          <w:sz w:val="20"/>
          <w:szCs w:val="20"/>
        </w:rPr>
        <w:t xml:space="preserve">helps identify and embed indicators </w:t>
      </w:r>
    </w:p>
    <w:p w14:paraId="749668ED" w14:textId="27B3D7EE" w:rsidR="00CF315E" w:rsidRPr="00B91E31" w:rsidRDefault="00CF315E" w:rsidP="00167DFE">
      <w:pPr>
        <w:pStyle w:val="ListParagraph"/>
        <w:numPr>
          <w:ilvl w:val="0"/>
          <w:numId w:val="12"/>
        </w:numPr>
        <w:rPr>
          <w:sz w:val="20"/>
          <w:szCs w:val="20"/>
        </w:rPr>
      </w:pPr>
      <w:r w:rsidRPr="00B91E31">
        <w:rPr>
          <w:sz w:val="20"/>
          <w:szCs w:val="20"/>
        </w:rPr>
        <w:t xml:space="preserve">ensures a feedback loop is established to inform </w:t>
      </w:r>
      <w:r w:rsidR="00E67B6D" w:rsidRPr="00B91E31">
        <w:rPr>
          <w:sz w:val="20"/>
          <w:szCs w:val="20"/>
        </w:rPr>
        <w:t xml:space="preserve">students, </w:t>
      </w:r>
      <w:r w:rsidRPr="00B91E31">
        <w:rPr>
          <w:sz w:val="20"/>
          <w:szCs w:val="20"/>
        </w:rPr>
        <w:t>teachers, coordinators and Schools</w:t>
      </w:r>
    </w:p>
    <w:p w14:paraId="6BF85394" w14:textId="51B2D3F7" w:rsidR="008E5661" w:rsidRPr="00B91E31" w:rsidRDefault="003B278F" w:rsidP="00B91E31">
      <w:pPr>
        <w:pStyle w:val="Heading2"/>
      </w:pPr>
      <w:r w:rsidRPr="00B91E31">
        <w:t xml:space="preserve">Assessment </w:t>
      </w:r>
      <w:r w:rsidR="00CD5727" w:rsidRPr="00B91E31">
        <w:t>Design and Implementation</w:t>
      </w:r>
    </w:p>
    <w:p w14:paraId="1387BB8D" w14:textId="77777777" w:rsidR="00943B53" w:rsidRPr="00B91E31" w:rsidRDefault="1822965A" w:rsidP="00167DFE">
      <w:pPr>
        <w:rPr>
          <w:sz w:val="20"/>
          <w:szCs w:val="20"/>
        </w:rPr>
      </w:pPr>
      <w:r w:rsidRPr="00B91E31">
        <w:rPr>
          <w:sz w:val="20"/>
          <w:szCs w:val="20"/>
        </w:rPr>
        <w:t xml:space="preserve">We </w:t>
      </w:r>
      <w:r w:rsidR="00FD5B11" w:rsidRPr="00B91E31">
        <w:rPr>
          <w:sz w:val="20"/>
          <w:szCs w:val="20"/>
        </w:rPr>
        <w:t xml:space="preserve">have </w:t>
      </w:r>
      <w:r w:rsidRPr="00B91E31">
        <w:rPr>
          <w:sz w:val="20"/>
          <w:szCs w:val="20"/>
        </w:rPr>
        <w:t>work</w:t>
      </w:r>
      <w:r w:rsidR="00FD5B11" w:rsidRPr="00B91E31">
        <w:rPr>
          <w:sz w:val="20"/>
          <w:szCs w:val="20"/>
        </w:rPr>
        <w:t>ed</w:t>
      </w:r>
      <w:r w:rsidRPr="00B91E31">
        <w:rPr>
          <w:sz w:val="20"/>
          <w:szCs w:val="20"/>
        </w:rPr>
        <w:t xml:space="preserve"> with </w:t>
      </w:r>
      <w:r w:rsidR="00FD5B11" w:rsidRPr="00B91E31">
        <w:rPr>
          <w:sz w:val="20"/>
          <w:szCs w:val="20"/>
        </w:rPr>
        <w:t xml:space="preserve">higher education </w:t>
      </w:r>
      <w:r w:rsidRPr="00B91E31">
        <w:rPr>
          <w:sz w:val="20"/>
          <w:szCs w:val="20"/>
        </w:rPr>
        <w:t xml:space="preserve">providers to </w:t>
      </w:r>
      <w:r w:rsidR="00CD5727" w:rsidRPr="00B91E31">
        <w:rPr>
          <w:sz w:val="20"/>
          <w:szCs w:val="20"/>
        </w:rPr>
        <w:t>design and implement</w:t>
      </w:r>
      <w:r w:rsidRPr="00B91E31">
        <w:rPr>
          <w:sz w:val="20"/>
          <w:szCs w:val="20"/>
        </w:rPr>
        <w:t xml:space="preserve"> assessment</w:t>
      </w:r>
      <w:r w:rsidR="00CD5727" w:rsidRPr="00B91E31">
        <w:rPr>
          <w:sz w:val="20"/>
          <w:szCs w:val="20"/>
        </w:rPr>
        <w:t xml:space="preserve"> at unit, program and institutional levels</w:t>
      </w:r>
      <w:r w:rsidRPr="00B91E31">
        <w:rPr>
          <w:sz w:val="20"/>
          <w:szCs w:val="20"/>
        </w:rPr>
        <w:t>.</w:t>
      </w:r>
      <w:r w:rsidR="00535F8A" w:rsidRPr="00B91E31">
        <w:rPr>
          <w:sz w:val="20"/>
          <w:szCs w:val="20"/>
        </w:rPr>
        <w:t xml:space="preserve"> </w:t>
      </w:r>
    </w:p>
    <w:p w14:paraId="07AC9577" w14:textId="4B338BD1" w:rsidR="008E5661" w:rsidRPr="00B91E31" w:rsidRDefault="0089440C" w:rsidP="00167DFE">
      <w:pPr>
        <w:rPr>
          <w:sz w:val="20"/>
          <w:szCs w:val="20"/>
        </w:rPr>
      </w:pPr>
      <w:r w:rsidRPr="00B91E31">
        <w:rPr>
          <w:sz w:val="20"/>
          <w:szCs w:val="20"/>
        </w:rPr>
        <w:t>HEED offers expertise in</w:t>
      </w:r>
    </w:p>
    <w:p w14:paraId="4F7C51EC" w14:textId="31292F96" w:rsidR="008E5661" w:rsidRPr="00B91E31" w:rsidRDefault="1822965A" w:rsidP="00167DFE">
      <w:pPr>
        <w:pStyle w:val="ListParagraph"/>
        <w:numPr>
          <w:ilvl w:val="0"/>
          <w:numId w:val="15"/>
        </w:numPr>
        <w:rPr>
          <w:sz w:val="20"/>
          <w:szCs w:val="20"/>
        </w:rPr>
      </w:pPr>
      <w:r w:rsidRPr="00B91E31">
        <w:rPr>
          <w:sz w:val="20"/>
          <w:szCs w:val="20"/>
        </w:rPr>
        <w:t>map</w:t>
      </w:r>
      <w:r w:rsidR="0089440C" w:rsidRPr="00B91E31">
        <w:rPr>
          <w:sz w:val="20"/>
          <w:szCs w:val="20"/>
        </w:rPr>
        <w:t>ping</w:t>
      </w:r>
      <w:r w:rsidRPr="00B91E31">
        <w:rPr>
          <w:sz w:val="20"/>
          <w:szCs w:val="20"/>
        </w:rPr>
        <w:t xml:space="preserve"> assessments against AQF </w:t>
      </w:r>
      <w:r w:rsidR="00CD5727" w:rsidRPr="00B91E31">
        <w:rPr>
          <w:sz w:val="20"/>
          <w:szCs w:val="20"/>
        </w:rPr>
        <w:t xml:space="preserve">and other professional </w:t>
      </w:r>
      <w:r w:rsidRPr="00B91E31">
        <w:rPr>
          <w:sz w:val="20"/>
          <w:szCs w:val="20"/>
        </w:rPr>
        <w:t>standards</w:t>
      </w:r>
    </w:p>
    <w:p w14:paraId="72CA61C1" w14:textId="153A37F5" w:rsidR="008E5661" w:rsidRPr="00B91E31" w:rsidRDefault="0089440C" w:rsidP="00167DFE">
      <w:pPr>
        <w:pStyle w:val="ListParagraph"/>
        <w:numPr>
          <w:ilvl w:val="0"/>
          <w:numId w:val="2"/>
        </w:numPr>
        <w:rPr>
          <w:sz w:val="20"/>
          <w:szCs w:val="20"/>
        </w:rPr>
      </w:pPr>
      <w:r w:rsidRPr="00B91E31">
        <w:rPr>
          <w:sz w:val="20"/>
          <w:szCs w:val="20"/>
        </w:rPr>
        <w:t xml:space="preserve">ensuring </w:t>
      </w:r>
      <w:r w:rsidR="1822965A" w:rsidRPr="00B91E31">
        <w:rPr>
          <w:sz w:val="20"/>
          <w:szCs w:val="20"/>
        </w:rPr>
        <w:t>constructive alignment of courses</w:t>
      </w:r>
    </w:p>
    <w:p w14:paraId="30B2D6D5" w14:textId="758181A6" w:rsidR="008E5661" w:rsidRPr="00B91E31" w:rsidRDefault="0089440C" w:rsidP="00167DFE">
      <w:pPr>
        <w:pStyle w:val="ListParagraph"/>
        <w:numPr>
          <w:ilvl w:val="0"/>
          <w:numId w:val="2"/>
        </w:numPr>
        <w:rPr>
          <w:sz w:val="20"/>
          <w:szCs w:val="20"/>
        </w:rPr>
      </w:pPr>
      <w:r w:rsidRPr="00B91E31">
        <w:rPr>
          <w:sz w:val="20"/>
          <w:szCs w:val="20"/>
        </w:rPr>
        <w:t>providing</w:t>
      </w:r>
      <w:r w:rsidR="002C3C3C" w:rsidRPr="00B91E31">
        <w:rPr>
          <w:sz w:val="20"/>
          <w:szCs w:val="20"/>
        </w:rPr>
        <w:t xml:space="preserve"> </w:t>
      </w:r>
      <w:r w:rsidR="1822965A" w:rsidRPr="00B91E31">
        <w:rPr>
          <w:sz w:val="20"/>
          <w:szCs w:val="20"/>
        </w:rPr>
        <w:t>opportunities for enhanced student learning through the regular provision of feedback</w:t>
      </w:r>
    </w:p>
    <w:p w14:paraId="106F4D95" w14:textId="0457C0BC" w:rsidR="008E5661" w:rsidRPr="00B91E31" w:rsidRDefault="1822965A" w:rsidP="00B91E31">
      <w:pPr>
        <w:pStyle w:val="Heading2"/>
      </w:pPr>
      <w:r w:rsidRPr="00B91E31">
        <w:t xml:space="preserve">Academic Integrity </w:t>
      </w:r>
    </w:p>
    <w:p w14:paraId="4B1FE301" w14:textId="77777777" w:rsidR="00943B53" w:rsidRPr="00B91E31" w:rsidRDefault="1822965A" w:rsidP="00167DFE">
      <w:pPr>
        <w:rPr>
          <w:sz w:val="20"/>
          <w:szCs w:val="20"/>
        </w:rPr>
      </w:pPr>
      <w:r w:rsidRPr="00B91E31">
        <w:rPr>
          <w:sz w:val="20"/>
          <w:szCs w:val="20"/>
        </w:rPr>
        <w:t xml:space="preserve">We </w:t>
      </w:r>
      <w:r w:rsidR="00FD5B11" w:rsidRPr="00B91E31">
        <w:rPr>
          <w:sz w:val="20"/>
          <w:szCs w:val="20"/>
        </w:rPr>
        <w:t>have developed and supported academic integrity initiatives at school, faculty, institution and national levels</w:t>
      </w:r>
      <w:r w:rsidR="00785685" w:rsidRPr="00B91E31">
        <w:rPr>
          <w:sz w:val="20"/>
          <w:szCs w:val="20"/>
        </w:rPr>
        <w:t xml:space="preserve">. </w:t>
      </w:r>
    </w:p>
    <w:p w14:paraId="75AF7B47" w14:textId="39467C81" w:rsidR="008E5661" w:rsidRPr="00B91E31" w:rsidRDefault="0089440C" w:rsidP="00167DFE">
      <w:pPr>
        <w:rPr>
          <w:b/>
          <w:bCs/>
          <w:sz w:val="20"/>
          <w:szCs w:val="20"/>
          <w:highlight w:val="yellow"/>
        </w:rPr>
      </w:pPr>
      <w:r w:rsidRPr="00B91E31">
        <w:rPr>
          <w:sz w:val="20"/>
          <w:szCs w:val="20"/>
        </w:rPr>
        <w:t>HEED</w:t>
      </w:r>
      <w:r w:rsidR="001C6246" w:rsidRPr="00B91E31">
        <w:rPr>
          <w:sz w:val="20"/>
          <w:szCs w:val="20"/>
        </w:rPr>
        <w:t xml:space="preserve"> </w:t>
      </w:r>
      <w:r w:rsidR="00FD5B11" w:rsidRPr="00B91E31">
        <w:rPr>
          <w:sz w:val="20"/>
          <w:szCs w:val="20"/>
        </w:rPr>
        <w:t>can</w:t>
      </w:r>
    </w:p>
    <w:p w14:paraId="6EA3D609" w14:textId="3C9BC971" w:rsidR="008E5661" w:rsidRPr="00B91E31" w:rsidRDefault="1822965A" w:rsidP="00167DFE">
      <w:pPr>
        <w:pStyle w:val="ListParagraph"/>
        <w:numPr>
          <w:ilvl w:val="0"/>
          <w:numId w:val="1"/>
        </w:numPr>
        <w:rPr>
          <w:sz w:val="20"/>
          <w:szCs w:val="20"/>
        </w:rPr>
      </w:pPr>
      <w:r w:rsidRPr="00B91E31">
        <w:rPr>
          <w:sz w:val="20"/>
          <w:szCs w:val="20"/>
        </w:rPr>
        <w:t xml:space="preserve">advise on </w:t>
      </w:r>
      <w:r w:rsidR="0089440C" w:rsidRPr="00B91E31">
        <w:rPr>
          <w:sz w:val="20"/>
          <w:szCs w:val="20"/>
        </w:rPr>
        <w:t>whole-</w:t>
      </w:r>
      <w:r w:rsidRPr="00B91E31">
        <w:rPr>
          <w:sz w:val="20"/>
          <w:szCs w:val="20"/>
        </w:rPr>
        <w:t>of</w:t>
      </w:r>
      <w:r w:rsidR="0089440C" w:rsidRPr="00B91E31">
        <w:rPr>
          <w:sz w:val="20"/>
          <w:szCs w:val="20"/>
        </w:rPr>
        <w:t>-</w:t>
      </w:r>
      <w:r w:rsidRPr="00B91E31">
        <w:rPr>
          <w:sz w:val="20"/>
          <w:szCs w:val="20"/>
        </w:rPr>
        <w:t xml:space="preserve">institution </w:t>
      </w:r>
      <w:r w:rsidR="00E67B6D" w:rsidRPr="00B91E31">
        <w:rPr>
          <w:sz w:val="20"/>
          <w:szCs w:val="20"/>
        </w:rPr>
        <w:t xml:space="preserve">policy and </w:t>
      </w:r>
      <w:r w:rsidRPr="00B91E31">
        <w:rPr>
          <w:sz w:val="20"/>
          <w:szCs w:val="20"/>
        </w:rPr>
        <w:t xml:space="preserve">programs to promote academic integrity </w:t>
      </w:r>
    </w:p>
    <w:p w14:paraId="60ED70F9" w14:textId="16ACF6F5" w:rsidR="00785685" w:rsidRPr="00B91E31" w:rsidRDefault="00FD5B11" w:rsidP="00167DFE">
      <w:pPr>
        <w:pStyle w:val="ListParagraph"/>
        <w:numPr>
          <w:ilvl w:val="0"/>
          <w:numId w:val="1"/>
        </w:numPr>
        <w:rPr>
          <w:sz w:val="20"/>
          <w:szCs w:val="20"/>
        </w:rPr>
      </w:pPr>
      <w:r w:rsidRPr="00B91E31">
        <w:rPr>
          <w:sz w:val="20"/>
          <w:szCs w:val="20"/>
        </w:rPr>
        <w:t>incorporate</w:t>
      </w:r>
      <w:r w:rsidR="00785685" w:rsidRPr="00B91E31">
        <w:rPr>
          <w:sz w:val="20"/>
          <w:szCs w:val="20"/>
        </w:rPr>
        <w:t xml:space="preserve"> integrity and ethics capacity building into undergraduate and postgraduate curricula</w:t>
      </w:r>
    </w:p>
    <w:p w14:paraId="271064E1" w14:textId="58B9EE9B" w:rsidR="008E5661" w:rsidRPr="00B91E31" w:rsidRDefault="002C3C3C" w:rsidP="00167DFE">
      <w:pPr>
        <w:pStyle w:val="ListParagraph"/>
        <w:numPr>
          <w:ilvl w:val="0"/>
          <w:numId w:val="1"/>
        </w:numPr>
        <w:rPr>
          <w:sz w:val="20"/>
          <w:szCs w:val="20"/>
        </w:rPr>
      </w:pPr>
      <w:r w:rsidRPr="00B91E31">
        <w:rPr>
          <w:sz w:val="20"/>
          <w:szCs w:val="20"/>
        </w:rPr>
        <w:t>link academic integrity and research integrity initiatives</w:t>
      </w:r>
    </w:p>
    <w:p w14:paraId="4A02D5BE" w14:textId="47CC19C5" w:rsidR="008E5661" w:rsidRPr="00B91E31" w:rsidRDefault="009D330E" w:rsidP="00B91E31">
      <w:pPr>
        <w:pStyle w:val="Heading2"/>
      </w:pPr>
      <w:r w:rsidRPr="00B91E31">
        <w:t xml:space="preserve">Scholarly Activity and </w:t>
      </w:r>
      <w:r w:rsidR="1822965A" w:rsidRPr="00B91E31">
        <w:t>Scholarship of Teaching and Learning (</w:t>
      </w:r>
      <w:proofErr w:type="spellStart"/>
      <w:r w:rsidR="1822965A" w:rsidRPr="00B91E31">
        <w:t>SoTL</w:t>
      </w:r>
      <w:proofErr w:type="spellEnd"/>
      <w:r w:rsidR="1822965A" w:rsidRPr="00B91E31">
        <w:t>)</w:t>
      </w:r>
      <w:r w:rsidRPr="00B91E31">
        <w:t xml:space="preserve"> </w:t>
      </w:r>
    </w:p>
    <w:p w14:paraId="69CEB0F0" w14:textId="31FA250D" w:rsidR="0087294E" w:rsidRPr="00B91E31" w:rsidRDefault="0087294E" w:rsidP="00167DFE">
      <w:pPr>
        <w:rPr>
          <w:sz w:val="20"/>
          <w:szCs w:val="20"/>
        </w:rPr>
      </w:pPr>
      <w:r w:rsidRPr="00B91E31">
        <w:rPr>
          <w:sz w:val="20"/>
          <w:szCs w:val="20"/>
        </w:rPr>
        <w:t xml:space="preserve">We </w:t>
      </w:r>
      <w:r w:rsidR="00FD5B11" w:rsidRPr="00B91E31">
        <w:rPr>
          <w:sz w:val="20"/>
          <w:szCs w:val="20"/>
        </w:rPr>
        <w:t xml:space="preserve">have </w:t>
      </w:r>
      <w:r w:rsidRPr="00B91E31">
        <w:rPr>
          <w:sz w:val="20"/>
          <w:szCs w:val="20"/>
        </w:rPr>
        <w:t>establish</w:t>
      </w:r>
      <w:r w:rsidR="00FD5B11" w:rsidRPr="00B91E31">
        <w:rPr>
          <w:sz w:val="20"/>
          <w:szCs w:val="20"/>
        </w:rPr>
        <w:t>ed</w:t>
      </w:r>
      <w:r w:rsidR="00C61FFF" w:rsidRPr="00B91E31">
        <w:rPr>
          <w:sz w:val="20"/>
          <w:szCs w:val="20"/>
        </w:rPr>
        <w:t>, led</w:t>
      </w:r>
      <w:r w:rsidRPr="00B91E31">
        <w:rPr>
          <w:sz w:val="20"/>
          <w:szCs w:val="20"/>
        </w:rPr>
        <w:t xml:space="preserve"> and support</w:t>
      </w:r>
      <w:r w:rsidR="00E67B6D" w:rsidRPr="00B91E31">
        <w:rPr>
          <w:sz w:val="20"/>
          <w:szCs w:val="20"/>
        </w:rPr>
        <w:t>ed</w:t>
      </w:r>
      <w:r w:rsidRPr="00B91E31">
        <w:rPr>
          <w:sz w:val="20"/>
          <w:szCs w:val="20"/>
        </w:rPr>
        <w:t xml:space="preserve"> </w:t>
      </w:r>
      <w:r w:rsidR="00C417F8" w:rsidRPr="00B91E31">
        <w:rPr>
          <w:sz w:val="20"/>
          <w:szCs w:val="20"/>
        </w:rPr>
        <w:t xml:space="preserve">initiatives for </w:t>
      </w:r>
      <w:r w:rsidRPr="00B91E31">
        <w:rPr>
          <w:sz w:val="20"/>
          <w:szCs w:val="20"/>
        </w:rPr>
        <w:t xml:space="preserve">Scholarship of Teaching and Learning </w:t>
      </w:r>
      <w:r w:rsidR="009D330E" w:rsidRPr="00B91E31">
        <w:rPr>
          <w:sz w:val="20"/>
          <w:szCs w:val="20"/>
        </w:rPr>
        <w:t>(</w:t>
      </w:r>
      <w:proofErr w:type="spellStart"/>
      <w:r w:rsidR="009D330E" w:rsidRPr="00B91E31">
        <w:rPr>
          <w:sz w:val="20"/>
          <w:szCs w:val="20"/>
        </w:rPr>
        <w:t>SoTL</w:t>
      </w:r>
      <w:proofErr w:type="spellEnd"/>
      <w:r w:rsidR="009D330E" w:rsidRPr="00B91E31">
        <w:rPr>
          <w:sz w:val="20"/>
          <w:szCs w:val="20"/>
        </w:rPr>
        <w:t xml:space="preserve">) </w:t>
      </w:r>
      <w:r w:rsidRPr="00B91E31">
        <w:rPr>
          <w:sz w:val="20"/>
          <w:szCs w:val="20"/>
        </w:rPr>
        <w:t xml:space="preserve">groups </w:t>
      </w:r>
      <w:r w:rsidR="00506243" w:rsidRPr="00B91E31">
        <w:rPr>
          <w:sz w:val="20"/>
          <w:szCs w:val="20"/>
        </w:rPr>
        <w:t>for</w:t>
      </w:r>
      <w:r w:rsidRPr="00B91E31">
        <w:rPr>
          <w:sz w:val="20"/>
          <w:szCs w:val="20"/>
        </w:rPr>
        <w:t xml:space="preserve"> universities and private higher education </w:t>
      </w:r>
      <w:r w:rsidR="00E67B6D" w:rsidRPr="00B91E31">
        <w:rPr>
          <w:sz w:val="20"/>
          <w:szCs w:val="20"/>
        </w:rPr>
        <w:t>institutions</w:t>
      </w:r>
      <w:r w:rsidRPr="00B91E31">
        <w:rPr>
          <w:sz w:val="20"/>
          <w:szCs w:val="20"/>
        </w:rPr>
        <w:t xml:space="preserve"> seeking to meet the requirements of scholarly activity.</w:t>
      </w:r>
      <w:r w:rsidR="00FD5B11" w:rsidRPr="00B91E31">
        <w:rPr>
          <w:sz w:val="20"/>
          <w:szCs w:val="20"/>
        </w:rPr>
        <w:t xml:space="preserve"> We have worked with the Australasian Human Research Ethics Consultancy Services to produce a </w:t>
      </w:r>
      <w:hyperlink r:id="rId8" w:history="1">
        <w:r w:rsidR="00FD5B11" w:rsidRPr="00B91E31">
          <w:rPr>
            <w:rStyle w:val="Hyperlink"/>
            <w:sz w:val="20"/>
            <w:szCs w:val="20"/>
          </w:rPr>
          <w:t>resource manual</w:t>
        </w:r>
      </w:hyperlink>
      <w:r w:rsidR="00FD5B11" w:rsidRPr="00B91E31">
        <w:rPr>
          <w:sz w:val="20"/>
          <w:szCs w:val="20"/>
        </w:rPr>
        <w:t xml:space="preserve"> for the Australian Government Office for Learning and Teaching to support the ethical decision making of </w:t>
      </w:r>
      <w:proofErr w:type="spellStart"/>
      <w:r w:rsidR="00FD5B11" w:rsidRPr="00B91E31">
        <w:rPr>
          <w:sz w:val="20"/>
          <w:szCs w:val="20"/>
        </w:rPr>
        <w:t>SoTL</w:t>
      </w:r>
      <w:proofErr w:type="spellEnd"/>
      <w:r w:rsidR="00FD5B11" w:rsidRPr="00B91E31">
        <w:rPr>
          <w:sz w:val="20"/>
          <w:szCs w:val="20"/>
        </w:rPr>
        <w:t xml:space="preserve"> researchers that it funded. We created the Scholarship of Teaching and Learning in Law group (</w:t>
      </w:r>
      <w:proofErr w:type="spellStart"/>
      <w:r w:rsidR="00B96084">
        <w:fldChar w:fldCharType="begin"/>
      </w:r>
      <w:r w:rsidR="00B96084">
        <w:instrText>HYPERLINK "http://www.law.uwa.edu.au/research/SoTL-in-Law"</w:instrText>
      </w:r>
      <w:r w:rsidR="00B96084">
        <w:fldChar w:fldCharType="separate"/>
      </w:r>
      <w:r w:rsidR="00FD5B11" w:rsidRPr="00B91E31">
        <w:rPr>
          <w:rStyle w:val="Hyperlink"/>
          <w:sz w:val="20"/>
          <w:szCs w:val="20"/>
        </w:rPr>
        <w:t>SoTL</w:t>
      </w:r>
      <w:proofErr w:type="spellEnd"/>
      <w:r w:rsidR="00FD5B11" w:rsidRPr="00B91E31">
        <w:rPr>
          <w:rStyle w:val="Hyperlink"/>
          <w:sz w:val="20"/>
          <w:szCs w:val="20"/>
        </w:rPr>
        <w:t>-in-Law</w:t>
      </w:r>
      <w:r w:rsidR="00B96084">
        <w:rPr>
          <w:rStyle w:val="Hyperlink"/>
          <w:sz w:val="20"/>
          <w:szCs w:val="20"/>
        </w:rPr>
        <w:fldChar w:fldCharType="end"/>
      </w:r>
      <w:r w:rsidR="00FD5B11" w:rsidRPr="00B91E31">
        <w:rPr>
          <w:sz w:val="20"/>
          <w:szCs w:val="20"/>
        </w:rPr>
        <w:t xml:space="preserve">) at </w:t>
      </w:r>
      <w:r w:rsidR="00E67B6D" w:rsidRPr="00B91E31">
        <w:rPr>
          <w:sz w:val="20"/>
          <w:szCs w:val="20"/>
        </w:rPr>
        <w:t xml:space="preserve">the </w:t>
      </w:r>
      <w:r w:rsidR="00FD5B11" w:rsidRPr="00B91E31">
        <w:rPr>
          <w:sz w:val="20"/>
          <w:szCs w:val="20"/>
        </w:rPr>
        <w:t xml:space="preserve">University of Western Australia, developed a unit on scholarly activity for the Higher Education Leadership Institute, Australia, produced a major </w:t>
      </w:r>
      <w:proofErr w:type="spellStart"/>
      <w:r w:rsidR="00FD5B11" w:rsidRPr="00B91E31">
        <w:rPr>
          <w:sz w:val="20"/>
          <w:szCs w:val="20"/>
        </w:rPr>
        <w:t>SoTL</w:t>
      </w:r>
      <w:proofErr w:type="spellEnd"/>
      <w:r w:rsidR="00FD5B11" w:rsidRPr="00B91E31">
        <w:rPr>
          <w:sz w:val="20"/>
          <w:szCs w:val="20"/>
        </w:rPr>
        <w:t xml:space="preserve"> resource for </w:t>
      </w:r>
      <w:r w:rsidR="009D330E" w:rsidRPr="00B91E31">
        <w:rPr>
          <w:sz w:val="20"/>
          <w:szCs w:val="20"/>
        </w:rPr>
        <w:t>the Higher Education Research and Development Society of Australasia (</w:t>
      </w:r>
      <w:hyperlink r:id="rId9" w:history="1">
        <w:r w:rsidR="009D330E" w:rsidRPr="00B91E31">
          <w:rPr>
            <w:rStyle w:val="Hyperlink"/>
            <w:sz w:val="20"/>
            <w:szCs w:val="20"/>
          </w:rPr>
          <w:t>HERDSA</w:t>
        </w:r>
      </w:hyperlink>
      <w:r w:rsidR="009D330E" w:rsidRPr="00B91E31">
        <w:rPr>
          <w:sz w:val="20"/>
          <w:szCs w:val="20"/>
        </w:rPr>
        <w:t>)</w:t>
      </w:r>
      <w:r w:rsidR="00FD5B11" w:rsidRPr="00B91E31">
        <w:rPr>
          <w:sz w:val="20"/>
          <w:szCs w:val="20"/>
        </w:rPr>
        <w:t xml:space="preserve">, and published extensively as active contributors to </w:t>
      </w:r>
      <w:proofErr w:type="spellStart"/>
      <w:r w:rsidR="00FD5B11" w:rsidRPr="00B91E31">
        <w:rPr>
          <w:sz w:val="20"/>
          <w:szCs w:val="20"/>
        </w:rPr>
        <w:t>SoTL</w:t>
      </w:r>
      <w:proofErr w:type="spellEnd"/>
      <w:r w:rsidR="00FD5B11" w:rsidRPr="00B91E31">
        <w:rPr>
          <w:sz w:val="20"/>
          <w:szCs w:val="20"/>
        </w:rPr>
        <w:t>.</w:t>
      </w:r>
    </w:p>
    <w:p w14:paraId="1FA6A2EE" w14:textId="645E262A" w:rsidR="0089440C" w:rsidRPr="00B91E31" w:rsidRDefault="0089440C" w:rsidP="00167DFE">
      <w:pPr>
        <w:rPr>
          <w:sz w:val="20"/>
          <w:szCs w:val="20"/>
        </w:rPr>
      </w:pPr>
      <w:r w:rsidRPr="00B91E31">
        <w:rPr>
          <w:sz w:val="20"/>
          <w:szCs w:val="20"/>
        </w:rPr>
        <w:t>HEED can work with institutions to</w:t>
      </w:r>
    </w:p>
    <w:p w14:paraId="77EBB35C" w14:textId="21584F40" w:rsidR="0089440C" w:rsidRPr="00B91E31" w:rsidRDefault="0068615E" w:rsidP="00167DFE">
      <w:pPr>
        <w:pStyle w:val="ListParagraph"/>
        <w:numPr>
          <w:ilvl w:val="0"/>
          <w:numId w:val="4"/>
        </w:numPr>
        <w:rPr>
          <w:sz w:val="20"/>
          <w:szCs w:val="20"/>
        </w:rPr>
      </w:pPr>
      <w:r w:rsidRPr="00B91E31">
        <w:rPr>
          <w:sz w:val="20"/>
          <w:szCs w:val="20"/>
        </w:rPr>
        <w:t xml:space="preserve">establish programs to enhance </w:t>
      </w:r>
      <w:proofErr w:type="spellStart"/>
      <w:r w:rsidRPr="00B91E31">
        <w:rPr>
          <w:sz w:val="20"/>
          <w:szCs w:val="20"/>
        </w:rPr>
        <w:t>SoTL</w:t>
      </w:r>
      <w:proofErr w:type="spellEnd"/>
      <w:r w:rsidRPr="00B91E31">
        <w:rPr>
          <w:sz w:val="20"/>
          <w:szCs w:val="20"/>
        </w:rPr>
        <w:t xml:space="preserve"> </w:t>
      </w:r>
    </w:p>
    <w:p w14:paraId="3A12CCA8" w14:textId="6746B340" w:rsidR="0068615E" w:rsidRPr="00B91E31" w:rsidRDefault="0068615E" w:rsidP="00167DFE">
      <w:pPr>
        <w:pStyle w:val="ListParagraph"/>
        <w:numPr>
          <w:ilvl w:val="0"/>
          <w:numId w:val="4"/>
        </w:numPr>
        <w:rPr>
          <w:sz w:val="20"/>
          <w:szCs w:val="20"/>
        </w:rPr>
      </w:pPr>
      <w:r w:rsidRPr="00B91E31">
        <w:rPr>
          <w:sz w:val="20"/>
          <w:szCs w:val="20"/>
        </w:rPr>
        <w:t xml:space="preserve">mentor and support colleagues to engage and publish in </w:t>
      </w:r>
      <w:proofErr w:type="spellStart"/>
      <w:r w:rsidRPr="00B91E31">
        <w:rPr>
          <w:sz w:val="20"/>
          <w:szCs w:val="20"/>
        </w:rPr>
        <w:t>SoTL</w:t>
      </w:r>
      <w:proofErr w:type="spellEnd"/>
    </w:p>
    <w:p w14:paraId="1E579550" w14:textId="1BD501C0" w:rsidR="009D330E" w:rsidRPr="00B91E31" w:rsidRDefault="009D330E" w:rsidP="00167DFE">
      <w:pPr>
        <w:pStyle w:val="ListParagraph"/>
        <w:numPr>
          <w:ilvl w:val="0"/>
          <w:numId w:val="4"/>
        </w:numPr>
        <w:rPr>
          <w:sz w:val="20"/>
          <w:szCs w:val="20"/>
        </w:rPr>
      </w:pPr>
      <w:r w:rsidRPr="00B91E31">
        <w:rPr>
          <w:sz w:val="20"/>
          <w:szCs w:val="20"/>
        </w:rPr>
        <w:t xml:space="preserve">advise on research ethics in relation to </w:t>
      </w:r>
      <w:proofErr w:type="spellStart"/>
      <w:r w:rsidRPr="00B91E31">
        <w:rPr>
          <w:sz w:val="20"/>
          <w:szCs w:val="20"/>
        </w:rPr>
        <w:t>SoTL</w:t>
      </w:r>
      <w:proofErr w:type="spellEnd"/>
    </w:p>
    <w:p w14:paraId="75801809" w14:textId="77777777" w:rsidR="0087294E" w:rsidRPr="00B91E31" w:rsidRDefault="0087294E" w:rsidP="00B91E31">
      <w:pPr>
        <w:pStyle w:val="Heading2"/>
      </w:pPr>
      <w:r w:rsidRPr="00B91E31">
        <w:t xml:space="preserve">National </w:t>
      </w:r>
      <w:r w:rsidR="00D904CB" w:rsidRPr="00B91E31">
        <w:t xml:space="preserve">and International </w:t>
      </w:r>
      <w:r w:rsidRPr="00B91E31">
        <w:t>Teaching Awards</w:t>
      </w:r>
      <w:r w:rsidR="004A67ED" w:rsidRPr="00B91E31">
        <w:t xml:space="preserve"> and Grants </w:t>
      </w:r>
    </w:p>
    <w:p w14:paraId="13FF29C8" w14:textId="77777777" w:rsidR="009D330E" w:rsidRPr="00B91E31" w:rsidRDefault="00D904CB" w:rsidP="00167DFE">
      <w:pPr>
        <w:rPr>
          <w:sz w:val="20"/>
          <w:szCs w:val="20"/>
        </w:rPr>
      </w:pPr>
      <w:r w:rsidRPr="00B91E31">
        <w:rPr>
          <w:sz w:val="20"/>
          <w:szCs w:val="20"/>
        </w:rPr>
        <w:t xml:space="preserve">We </w:t>
      </w:r>
      <w:r w:rsidR="0087294E" w:rsidRPr="00B91E31">
        <w:rPr>
          <w:sz w:val="20"/>
          <w:szCs w:val="20"/>
        </w:rPr>
        <w:t xml:space="preserve">have </w:t>
      </w:r>
      <w:r w:rsidR="004A67ED" w:rsidRPr="00B91E31">
        <w:rPr>
          <w:sz w:val="20"/>
          <w:szCs w:val="20"/>
        </w:rPr>
        <w:t>contribut</w:t>
      </w:r>
      <w:r w:rsidR="009D330E" w:rsidRPr="00B91E31">
        <w:rPr>
          <w:sz w:val="20"/>
          <w:szCs w:val="20"/>
        </w:rPr>
        <w:t>ed</w:t>
      </w:r>
      <w:r w:rsidR="004A67ED" w:rsidRPr="00B91E31">
        <w:rPr>
          <w:sz w:val="20"/>
          <w:szCs w:val="20"/>
        </w:rPr>
        <w:t xml:space="preserve"> </w:t>
      </w:r>
      <w:r w:rsidR="009D330E" w:rsidRPr="00B91E31">
        <w:rPr>
          <w:sz w:val="20"/>
          <w:szCs w:val="20"/>
        </w:rPr>
        <w:t xml:space="preserve">significantly </w:t>
      </w:r>
      <w:r w:rsidR="0068615E" w:rsidRPr="00B91E31">
        <w:rPr>
          <w:sz w:val="20"/>
          <w:szCs w:val="20"/>
        </w:rPr>
        <w:t>to</w:t>
      </w:r>
      <w:r w:rsidRPr="00B91E31">
        <w:rPr>
          <w:sz w:val="20"/>
          <w:szCs w:val="20"/>
        </w:rPr>
        <w:t xml:space="preserve"> policy and procedures for institutional and national teaching awards </w:t>
      </w:r>
      <w:r w:rsidR="004A67ED" w:rsidRPr="00B91E31">
        <w:rPr>
          <w:sz w:val="20"/>
          <w:szCs w:val="20"/>
        </w:rPr>
        <w:t xml:space="preserve">and grants </w:t>
      </w:r>
      <w:r w:rsidRPr="00B91E31">
        <w:rPr>
          <w:sz w:val="20"/>
          <w:szCs w:val="20"/>
        </w:rPr>
        <w:t xml:space="preserve">and </w:t>
      </w:r>
      <w:r w:rsidR="009D330E" w:rsidRPr="00B91E31">
        <w:rPr>
          <w:sz w:val="20"/>
          <w:szCs w:val="20"/>
        </w:rPr>
        <w:t>have</w:t>
      </w:r>
      <w:r w:rsidRPr="00B91E31">
        <w:rPr>
          <w:sz w:val="20"/>
          <w:szCs w:val="20"/>
        </w:rPr>
        <w:t xml:space="preserve"> </w:t>
      </w:r>
      <w:r w:rsidR="009D330E" w:rsidRPr="00B91E31">
        <w:rPr>
          <w:sz w:val="20"/>
          <w:szCs w:val="20"/>
        </w:rPr>
        <w:t>led</w:t>
      </w:r>
      <w:r w:rsidR="004A67ED" w:rsidRPr="00B91E31">
        <w:rPr>
          <w:sz w:val="20"/>
          <w:szCs w:val="20"/>
        </w:rPr>
        <w:t xml:space="preserve">, </w:t>
      </w:r>
      <w:r w:rsidR="009D330E" w:rsidRPr="00B91E31">
        <w:rPr>
          <w:sz w:val="20"/>
          <w:szCs w:val="20"/>
        </w:rPr>
        <w:t>supported</w:t>
      </w:r>
      <w:r w:rsidRPr="00B91E31">
        <w:rPr>
          <w:sz w:val="20"/>
          <w:szCs w:val="20"/>
        </w:rPr>
        <w:t xml:space="preserve"> </w:t>
      </w:r>
      <w:r w:rsidR="009D330E" w:rsidRPr="00B91E31">
        <w:rPr>
          <w:sz w:val="20"/>
          <w:szCs w:val="20"/>
        </w:rPr>
        <w:t>and written our own</w:t>
      </w:r>
      <w:r w:rsidR="00506243" w:rsidRPr="00B91E31">
        <w:rPr>
          <w:sz w:val="20"/>
          <w:szCs w:val="20"/>
        </w:rPr>
        <w:t xml:space="preserve"> successful </w:t>
      </w:r>
      <w:r w:rsidRPr="00B91E31">
        <w:rPr>
          <w:sz w:val="20"/>
          <w:szCs w:val="20"/>
        </w:rPr>
        <w:t xml:space="preserve">applications. </w:t>
      </w:r>
    </w:p>
    <w:p w14:paraId="4E270CD3" w14:textId="4F723421" w:rsidR="00506243" w:rsidRPr="00B91E31" w:rsidRDefault="0089440C" w:rsidP="00167DFE">
      <w:pPr>
        <w:rPr>
          <w:sz w:val="20"/>
          <w:szCs w:val="20"/>
        </w:rPr>
      </w:pPr>
      <w:r w:rsidRPr="00B91E31">
        <w:rPr>
          <w:sz w:val="20"/>
          <w:szCs w:val="20"/>
        </w:rPr>
        <w:t xml:space="preserve">Our Senior Consultants have: been responsible for leading policies, processes and reviews of national teaching awards and fellowships on behalf of the Australian government; </w:t>
      </w:r>
      <w:hyperlink r:id="rId10" w:history="1">
        <w:r w:rsidRPr="00B91E31">
          <w:rPr>
            <w:rStyle w:val="Hyperlink"/>
            <w:sz w:val="20"/>
            <w:szCs w:val="20"/>
          </w:rPr>
          <w:t>reviewed the operations of the national teaching awards</w:t>
        </w:r>
      </w:hyperlink>
      <w:r w:rsidRPr="00B91E31">
        <w:rPr>
          <w:sz w:val="20"/>
          <w:szCs w:val="20"/>
        </w:rPr>
        <w:t xml:space="preserve"> in Australia as part of an Australian government-funded fellowship</w:t>
      </w:r>
      <w:r w:rsidR="009D330E" w:rsidRPr="00B91E31">
        <w:rPr>
          <w:sz w:val="20"/>
          <w:szCs w:val="20"/>
        </w:rPr>
        <w:t>;</w:t>
      </w:r>
      <w:r w:rsidRPr="00B91E31">
        <w:rPr>
          <w:sz w:val="20"/>
          <w:szCs w:val="20"/>
        </w:rPr>
        <w:t xml:space="preserve"> been members of the Australian government national committee</w:t>
      </w:r>
      <w:r w:rsidR="001B26D6" w:rsidRPr="00B91E31">
        <w:rPr>
          <w:sz w:val="20"/>
          <w:szCs w:val="20"/>
        </w:rPr>
        <w:t>s</w:t>
      </w:r>
      <w:r w:rsidRPr="00B91E31">
        <w:rPr>
          <w:sz w:val="20"/>
          <w:szCs w:val="20"/>
        </w:rPr>
        <w:t xml:space="preserve"> for teaching awards; served as reviewers of national awards, fellowships and grants in Australia and the United Kingdom; had considerable success as leaders and members of competitive grants, and been recognised for our work through national citations, awards, fellowships and grants, and international awards and teaching fellowships.</w:t>
      </w:r>
    </w:p>
    <w:p w14:paraId="4B23E8B9" w14:textId="62BC15CE" w:rsidR="00D904CB" w:rsidRPr="00B91E31" w:rsidRDefault="0089440C" w:rsidP="00167DFE">
      <w:pPr>
        <w:rPr>
          <w:sz w:val="20"/>
          <w:szCs w:val="20"/>
        </w:rPr>
      </w:pPr>
      <w:r w:rsidRPr="00B91E31">
        <w:rPr>
          <w:sz w:val="20"/>
          <w:szCs w:val="20"/>
        </w:rPr>
        <w:lastRenderedPageBreak/>
        <w:t xml:space="preserve">HEED </w:t>
      </w:r>
    </w:p>
    <w:p w14:paraId="523968CF" w14:textId="4131B2F2" w:rsidR="00D904CB" w:rsidRPr="00B91E31" w:rsidRDefault="00D904CB" w:rsidP="00167DFE">
      <w:pPr>
        <w:pStyle w:val="ListParagraph"/>
        <w:numPr>
          <w:ilvl w:val="0"/>
          <w:numId w:val="4"/>
        </w:numPr>
        <w:rPr>
          <w:sz w:val="20"/>
          <w:szCs w:val="20"/>
        </w:rPr>
      </w:pPr>
      <w:r w:rsidRPr="00B91E31">
        <w:rPr>
          <w:sz w:val="20"/>
          <w:szCs w:val="20"/>
        </w:rPr>
        <w:t>advise</w:t>
      </w:r>
      <w:r w:rsidR="001B26D6" w:rsidRPr="00B91E31">
        <w:rPr>
          <w:sz w:val="20"/>
          <w:szCs w:val="20"/>
        </w:rPr>
        <w:t>s</w:t>
      </w:r>
      <w:r w:rsidR="004A67ED" w:rsidRPr="00B91E31">
        <w:rPr>
          <w:sz w:val="20"/>
          <w:szCs w:val="20"/>
        </w:rPr>
        <w:t xml:space="preserve"> and support</w:t>
      </w:r>
      <w:r w:rsidR="001B26D6" w:rsidRPr="00B91E31">
        <w:rPr>
          <w:sz w:val="20"/>
          <w:szCs w:val="20"/>
        </w:rPr>
        <w:t>s</w:t>
      </w:r>
      <w:r w:rsidR="004A67ED" w:rsidRPr="00B91E31">
        <w:rPr>
          <w:sz w:val="20"/>
          <w:szCs w:val="20"/>
        </w:rPr>
        <w:t xml:space="preserve"> </w:t>
      </w:r>
      <w:r w:rsidRPr="00B91E31">
        <w:rPr>
          <w:sz w:val="20"/>
          <w:szCs w:val="20"/>
        </w:rPr>
        <w:t>individual</w:t>
      </w:r>
      <w:r w:rsidR="00E35D00" w:rsidRPr="00B91E31">
        <w:rPr>
          <w:sz w:val="20"/>
          <w:szCs w:val="20"/>
        </w:rPr>
        <w:t>, program</w:t>
      </w:r>
      <w:r w:rsidRPr="00B91E31">
        <w:rPr>
          <w:sz w:val="20"/>
          <w:szCs w:val="20"/>
        </w:rPr>
        <w:t xml:space="preserve"> and institutional applicants</w:t>
      </w:r>
    </w:p>
    <w:p w14:paraId="0784A76C" w14:textId="35226025" w:rsidR="0089440C" w:rsidRPr="00B91E31" w:rsidRDefault="0089440C" w:rsidP="00167DFE">
      <w:pPr>
        <w:pStyle w:val="ListParagraph"/>
        <w:numPr>
          <w:ilvl w:val="0"/>
          <w:numId w:val="4"/>
        </w:numPr>
        <w:rPr>
          <w:sz w:val="20"/>
          <w:szCs w:val="20"/>
        </w:rPr>
      </w:pPr>
      <w:r w:rsidRPr="00B91E31">
        <w:rPr>
          <w:sz w:val="20"/>
          <w:szCs w:val="20"/>
        </w:rPr>
        <w:t>devise</w:t>
      </w:r>
      <w:r w:rsidR="001B26D6" w:rsidRPr="00B91E31">
        <w:rPr>
          <w:sz w:val="20"/>
          <w:szCs w:val="20"/>
        </w:rPr>
        <w:t>s</w:t>
      </w:r>
      <w:r w:rsidRPr="00B91E31">
        <w:rPr>
          <w:sz w:val="20"/>
          <w:szCs w:val="20"/>
        </w:rPr>
        <w:t xml:space="preserve"> institutional strategies that </w:t>
      </w:r>
      <w:r w:rsidR="001B26D6" w:rsidRPr="00B91E31">
        <w:rPr>
          <w:sz w:val="20"/>
          <w:szCs w:val="20"/>
        </w:rPr>
        <w:t>promote success</w:t>
      </w:r>
      <w:r w:rsidRPr="00B91E31">
        <w:rPr>
          <w:sz w:val="20"/>
          <w:szCs w:val="20"/>
        </w:rPr>
        <w:t xml:space="preserve"> in applying for grants </w:t>
      </w:r>
      <w:r w:rsidR="001B26D6" w:rsidRPr="00B91E31">
        <w:rPr>
          <w:sz w:val="20"/>
          <w:szCs w:val="20"/>
        </w:rPr>
        <w:t xml:space="preserve">and awards </w:t>
      </w:r>
      <w:r w:rsidRPr="00B91E31">
        <w:rPr>
          <w:sz w:val="20"/>
          <w:szCs w:val="20"/>
        </w:rPr>
        <w:t xml:space="preserve">and </w:t>
      </w:r>
      <w:r w:rsidR="001B26D6" w:rsidRPr="00B91E31">
        <w:rPr>
          <w:sz w:val="20"/>
          <w:szCs w:val="20"/>
        </w:rPr>
        <w:t>ensures staff can build on the opportunities that flow</w:t>
      </w:r>
      <w:r w:rsidRPr="00B91E31">
        <w:rPr>
          <w:sz w:val="20"/>
          <w:szCs w:val="20"/>
        </w:rPr>
        <w:t xml:space="preserve"> from </w:t>
      </w:r>
      <w:r w:rsidR="001B26D6" w:rsidRPr="00B91E31">
        <w:rPr>
          <w:sz w:val="20"/>
          <w:szCs w:val="20"/>
        </w:rPr>
        <w:t>applying</w:t>
      </w:r>
    </w:p>
    <w:p w14:paraId="069F09A6" w14:textId="74A788A7" w:rsidR="003F3333" w:rsidRDefault="003F3333" w:rsidP="00167DFE">
      <w:pPr>
        <w:rPr>
          <w:b/>
        </w:rPr>
      </w:pPr>
    </w:p>
    <w:p w14:paraId="6D175720" w14:textId="77777777" w:rsidR="00C806BB" w:rsidRDefault="00C806BB" w:rsidP="00167DFE">
      <w:pPr>
        <w:rPr>
          <w:b/>
        </w:rPr>
      </w:pPr>
    </w:p>
    <w:p w14:paraId="586F59CC" w14:textId="77777777" w:rsidR="00E8142E" w:rsidRDefault="00C806BB" w:rsidP="00167DFE">
      <w:pPr>
        <w:rPr>
          <w:b/>
        </w:rPr>
      </w:pPr>
      <w:r>
        <w:rPr>
          <w:b/>
        </w:rPr>
        <w:t xml:space="preserve">Contact: </w:t>
      </w:r>
    </w:p>
    <w:p w14:paraId="2158068A" w14:textId="292B8A92" w:rsidR="00F052D5" w:rsidRPr="00E8142E" w:rsidRDefault="0020059F" w:rsidP="00167DFE">
      <w:hyperlink r:id="rId11" w:history="1">
        <w:r w:rsidRPr="00F537E3">
          <w:rPr>
            <w:rStyle w:val="Hyperlink"/>
          </w:rPr>
          <w:t>mark.israel@ahrecs.com</w:t>
        </w:r>
      </w:hyperlink>
      <w:r>
        <w:t xml:space="preserve"> </w:t>
      </w:r>
      <w:r w:rsidR="00C0404C">
        <w:t xml:space="preserve">or </w:t>
      </w:r>
      <w:hyperlink r:id="rId12" w:history="1">
        <w:r w:rsidR="00F052D5" w:rsidRPr="0002134D">
          <w:rPr>
            <w:rStyle w:val="Hyperlink"/>
          </w:rPr>
          <w:t>denise.chalmers@uwa.edu.au</w:t>
        </w:r>
      </w:hyperlink>
      <w:r w:rsidR="00F052D5">
        <w:t xml:space="preserve"> </w:t>
      </w:r>
    </w:p>
    <w:p w14:paraId="33766794" w14:textId="5FAF0568" w:rsidR="00C806BB" w:rsidRPr="0068615E" w:rsidRDefault="00E8142E" w:rsidP="00167DFE">
      <w:pPr>
        <w:rPr>
          <w:b/>
        </w:rPr>
      </w:pPr>
      <w:hyperlink r:id="rId13" w:history="1">
        <w:r w:rsidRPr="00C171BF">
          <w:rPr>
            <w:rStyle w:val="Hyperlink"/>
          </w:rPr>
          <w:t>www.heedconsulting.com.au</w:t>
        </w:r>
      </w:hyperlink>
    </w:p>
    <w:sectPr w:rsidR="00C806BB" w:rsidRPr="0068615E" w:rsidSect="00E615F7">
      <w:footerReference w:type="default" r:id="rId14"/>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4085" w14:textId="77777777" w:rsidR="00254D27" w:rsidRDefault="00254D27" w:rsidP="006E0E9D">
      <w:pPr>
        <w:spacing w:after="0" w:line="240" w:lineRule="auto"/>
      </w:pPr>
      <w:r>
        <w:separator/>
      </w:r>
    </w:p>
  </w:endnote>
  <w:endnote w:type="continuationSeparator" w:id="0">
    <w:p w14:paraId="6DCD8370" w14:textId="77777777" w:rsidR="00254D27" w:rsidRDefault="00254D27" w:rsidP="006E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3"/>
      <w:gridCol w:w="8239"/>
    </w:tblGrid>
    <w:tr w:rsidR="006E0E9D" w14:paraId="16CC6973" w14:textId="77777777">
      <w:tc>
        <w:tcPr>
          <w:tcW w:w="918" w:type="dxa"/>
        </w:tcPr>
        <w:p w14:paraId="450A576F" w14:textId="59C0F4F0" w:rsidR="006E0E9D" w:rsidRDefault="006E0E9D">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9313C7" w:rsidRPr="009313C7">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38C91F8E" w14:textId="066FCC19" w:rsidR="006E0E9D" w:rsidRDefault="006E0E9D" w:rsidP="001B064D">
          <w:pPr>
            <w:pStyle w:val="Footer"/>
          </w:pPr>
          <w:r>
            <w:t>HEED Consulting Capability Statement (20</w:t>
          </w:r>
          <w:r w:rsidR="0020059F">
            <w:t>23</w:t>
          </w:r>
          <w:r>
            <w:t xml:space="preserve">) </w:t>
          </w:r>
          <w:hyperlink r:id="rId1" w:history="1">
            <w:r w:rsidR="001B064D" w:rsidRPr="00C171BF">
              <w:rPr>
                <w:rStyle w:val="Hyperlink"/>
              </w:rPr>
              <w:t>www.heedconsulting.com.au</w:t>
            </w:r>
          </w:hyperlink>
          <w:r w:rsidR="008D2D0C">
            <w:t xml:space="preserve"> </w:t>
          </w:r>
        </w:p>
      </w:tc>
    </w:tr>
  </w:tbl>
  <w:p w14:paraId="3AF6129B" w14:textId="77777777" w:rsidR="006E0E9D" w:rsidRDefault="006E0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9113" w14:textId="77777777" w:rsidR="00254D27" w:rsidRDefault="00254D27" w:rsidP="006E0E9D">
      <w:pPr>
        <w:spacing w:after="0" w:line="240" w:lineRule="auto"/>
      </w:pPr>
      <w:r>
        <w:separator/>
      </w:r>
    </w:p>
  </w:footnote>
  <w:footnote w:type="continuationSeparator" w:id="0">
    <w:p w14:paraId="1ABD928E" w14:textId="77777777" w:rsidR="00254D27" w:rsidRDefault="00254D27" w:rsidP="006E0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18"/>
    <w:multiLevelType w:val="hybridMultilevel"/>
    <w:tmpl w:val="67C67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9746E9"/>
    <w:multiLevelType w:val="hybridMultilevel"/>
    <w:tmpl w:val="1ADCAE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BD425FA"/>
    <w:multiLevelType w:val="hybridMultilevel"/>
    <w:tmpl w:val="332EE132"/>
    <w:lvl w:ilvl="0" w:tplc="FB36D3C2">
      <w:start w:val="1"/>
      <w:numFmt w:val="bullet"/>
      <w:lvlText w:val=""/>
      <w:lvlJc w:val="left"/>
      <w:pPr>
        <w:ind w:left="720" w:hanging="360"/>
      </w:pPr>
      <w:rPr>
        <w:rFonts w:ascii="Symbol" w:hAnsi="Symbol" w:hint="default"/>
      </w:rPr>
    </w:lvl>
    <w:lvl w:ilvl="1" w:tplc="63180EC2">
      <w:start w:val="1"/>
      <w:numFmt w:val="bullet"/>
      <w:lvlText w:val="o"/>
      <w:lvlJc w:val="left"/>
      <w:pPr>
        <w:ind w:left="1440" w:hanging="360"/>
      </w:pPr>
      <w:rPr>
        <w:rFonts w:ascii="Courier New" w:hAnsi="Courier New" w:hint="default"/>
      </w:rPr>
    </w:lvl>
    <w:lvl w:ilvl="2" w:tplc="6A7ED95A">
      <w:start w:val="1"/>
      <w:numFmt w:val="bullet"/>
      <w:lvlText w:val=""/>
      <w:lvlJc w:val="left"/>
      <w:pPr>
        <w:ind w:left="2160" w:hanging="360"/>
      </w:pPr>
      <w:rPr>
        <w:rFonts w:ascii="Wingdings" w:hAnsi="Wingdings" w:hint="default"/>
      </w:rPr>
    </w:lvl>
    <w:lvl w:ilvl="3" w:tplc="FE1630CE">
      <w:start w:val="1"/>
      <w:numFmt w:val="bullet"/>
      <w:lvlText w:val=""/>
      <w:lvlJc w:val="left"/>
      <w:pPr>
        <w:ind w:left="2880" w:hanging="360"/>
      </w:pPr>
      <w:rPr>
        <w:rFonts w:ascii="Symbol" w:hAnsi="Symbol" w:hint="default"/>
      </w:rPr>
    </w:lvl>
    <w:lvl w:ilvl="4" w:tplc="953CC688">
      <w:start w:val="1"/>
      <w:numFmt w:val="bullet"/>
      <w:lvlText w:val="o"/>
      <w:lvlJc w:val="left"/>
      <w:pPr>
        <w:ind w:left="3600" w:hanging="360"/>
      </w:pPr>
      <w:rPr>
        <w:rFonts w:ascii="Courier New" w:hAnsi="Courier New" w:hint="default"/>
      </w:rPr>
    </w:lvl>
    <w:lvl w:ilvl="5" w:tplc="C90A2396">
      <w:start w:val="1"/>
      <w:numFmt w:val="bullet"/>
      <w:lvlText w:val=""/>
      <w:lvlJc w:val="left"/>
      <w:pPr>
        <w:ind w:left="4320" w:hanging="360"/>
      </w:pPr>
      <w:rPr>
        <w:rFonts w:ascii="Wingdings" w:hAnsi="Wingdings" w:hint="default"/>
      </w:rPr>
    </w:lvl>
    <w:lvl w:ilvl="6" w:tplc="A12CB35E">
      <w:start w:val="1"/>
      <w:numFmt w:val="bullet"/>
      <w:lvlText w:val=""/>
      <w:lvlJc w:val="left"/>
      <w:pPr>
        <w:ind w:left="5040" w:hanging="360"/>
      </w:pPr>
      <w:rPr>
        <w:rFonts w:ascii="Symbol" w:hAnsi="Symbol" w:hint="default"/>
      </w:rPr>
    </w:lvl>
    <w:lvl w:ilvl="7" w:tplc="C110006A">
      <w:start w:val="1"/>
      <w:numFmt w:val="bullet"/>
      <w:lvlText w:val="o"/>
      <w:lvlJc w:val="left"/>
      <w:pPr>
        <w:ind w:left="5760" w:hanging="360"/>
      </w:pPr>
      <w:rPr>
        <w:rFonts w:ascii="Courier New" w:hAnsi="Courier New" w:hint="default"/>
      </w:rPr>
    </w:lvl>
    <w:lvl w:ilvl="8" w:tplc="5EBE166A">
      <w:start w:val="1"/>
      <w:numFmt w:val="bullet"/>
      <w:lvlText w:val=""/>
      <w:lvlJc w:val="left"/>
      <w:pPr>
        <w:ind w:left="6480" w:hanging="360"/>
      </w:pPr>
      <w:rPr>
        <w:rFonts w:ascii="Wingdings" w:hAnsi="Wingdings" w:hint="default"/>
      </w:rPr>
    </w:lvl>
  </w:abstractNum>
  <w:abstractNum w:abstractNumId="3" w15:restartNumberingAfterBreak="0">
    <w:nsid w:val="2C2258F7"/>
    <w:multiLevelType w:val="hybridMultilevel"/>
    <w:tmpl w:val="AB5C5D42"/>
    <w:lvl w:ilvl="0" w:tplc="2DE04BA8">
      <w:start w:val="1"/>
      <w:numFmt w:val="bullet"/>
      <w:lvlText w:val=""/>
      <w:lvlJc w:val="left"/>
      <w:pPr>
        <w:ind w:left="720" w:hanging="360"/>
      </w:pPr>
      <w:rPr>
        <w:rFonts w:ascii="Symbol" w:hAnsi="Symbol" w:hint="default"/>
      </w:rPr>
    </w:lvl>
    <w:lvl w:ilvl="1" w:tplc="C598F6F4">
      <w:start w:val="1"/>
      <w:numFmt w:val="bullet"/>
      <w:lvlText w:val="o"/>
      <w:lvlJc w:val="left"/>
      <w:pPr>
        <w:ind w:left="1440" w:hanging="360"/>
      </w:pPr>
      <w:rPr>
        <w:rFonts w:ascii="Courier New" w:hAnsi="Courier New" w:hint="default"/>
      </w:rPr>
    </w:lvl>
    <w:lvl w:ilvl="2" w:tplc="820C936C">
      <w:start w:val="1"/>
      <w:numFmt w:val="bullet"/>
      <w:lvlText w:val=""/>
      <w:lvlJc w:val="left"/>
      <w:pPr>
        <w:ind w:left="2160" w:hanging="360"/>
      </w:pPr>
      <w:rPr>
        <w:rFonts w:ascii="Wingdings" w:hAnsi="Wingdings" w:hint="default"/>
      </w:rPr>
    </w:lvl>
    <w:lvl w:ilvl="3" w:tplc="2054799E">
      <w:start w:val="1"/>
      <w:numFmt w:val="bullet"/>
      <w:lvlText w:val=""/>
      <w:lvlJc w:val="left"/>
      <w:pPr>
        <w:ind w:left="2880" w:hanging="360"/>
      </w:pPr>
      <w:rPr>
        <w:rFonts w:ascii="Symbol" w:hAnsi="Symbol" w:hint="default"/>
      </w:rPr>
    </w:lvl>
    <w:lvl w:ilvl="4" w:tplc="39E8DE96">
      <w:start w:val="1"/>
      <w:numFmt w:val="bullet"/>
      <w:lvlText w:val="o"/>
      <w:lvlJc w:val="left"/>
      <w:pPr>
        <w:ind w:left="3600" w:hanging="360"/>
      </w:pPr>
      <w:rPr>
        <w:rFonts w:ascii="Courier New" w:hAnsi="Courier New" w:hint="default"/>
      </w:rPr>
    </w:lvl>
    <w:lvl w:ilvl="5" w:tplc="DA42A728">
      <w:start w:val="1"/>
      <w:numFmt w:val="bullet"/>
      <w:lvlText w:val=""/>
      <w:lvlJc w:val="left"/>
      <w:pPr>
        <w:ind w:left="4320" w:hanging="360"/>
      </w:pPr>
      <w:rPr>
        <w:rFonts w:ascii="Wingdings" w:hAnsi="Wingdings" w:hint="default"/>
      </w:rPr>
    </w:lvl>
    <w:lvl w:ilvl="6" w:tplc="2B9EBC10">
      <w:start w:val="1"/>
      <w:numFmt w:val="bullet"/>
      <w:lvlText w:val=""/>
      <w:lvlJc w:val="left"/>
      <w:pPr>
        <w:ind w:left="5040" w:hanging="360"/>
      </w:pPr>
      <w:rPr>
        <w:rFonts w:ascii="Symbol" w:hAnsi="Symbol" w:hint="default"/>
      </w:rPr>
    </w:lvl>
    <w:lvl w:ilvl="7" w:tplc="4AAE6F04">
      <w:start w:val="1"/>
      <w:numFmt w:val="bullet"/>
      <w:lvlText w:val="o"/>
      <w:lvlJc w:val="left"/>
      <w:pPr>
        <w:ind w:left="5760" w:hanging="360"/>
      </w:pPr>
      <w:rPr>
        <w:rFonts w:ascii="Courier New" w:hAnsi="Courier New" w:hint="default"/>
      </w:rPr>
    </w:lvl>
    <w:lvl w:ilvl="8" w:tplc="60761AE0">
      <w:start w:val="1"/>
      <w:numFmt w:val="bullet"/>
      <w:lvlText w:val=""/>
      <w:lvlJc w:val="left"/>
      <w:pPr>
        <w:ind w:left="6480" w:hanging="360"/>
      </w:pPr>
      <w:rPr>
        <w:rFonts w:ascii="Wingdings" w:hAnsi="Wingdings" w:hint="default"/>
      </w:rPr>
    </w:lvl>
  </w:abstractNum>
  <w:abstractNum w:abstractNumId="4" w15:restartNumberingAfterBreak="0">
    <w:nsid w:val="2D7F2AAD"/>
    <w:multiLevelType w:val="hybridMultilevel"/>
    <w:tmpl w:val="C78CE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DE551A"/>
    <w:multiLevelType w:val="hybridMultilevel"/>
    <w:tmpl w:val="A7001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8B78B5"/>
    <w:multiLevelType w:val="hybridMultilevel"/>
    <w:tmpl w:val="2F1A8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C72B63"/>
    <w:multiLevelType w:val="hybridMultilevel"/>
    <w:tmpl w:val="521C8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891430"/>
    <w:multiLevelType w:val="hybridMultilevel"/>
    <w:tmpl w:val="61845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6F6E80"/>
    <w:multiLevelType w:val="hybridMultilevel"/>
    <w:tmpl w:val="DD081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5B08B3"/>
    <w:multiLevelType w:val="hybridMultilevel"/>
    <w:tmpl w:val="C91A7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1375D8"/>
    <w:multiLevelType w:val="hybridMultilevel"/>
    <w:tmpl w:val="3E8A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9A6C74"/>
    <w:multiLevelType w:val="hybridMultilevel"/>
    <w:tmpl w:val="C7965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D43276"/>
    <w:multiLevelType w:val="hybridMultilevel"/>
    <w:tmpl w:val="08D06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C8747C"/>
    <w:multiLevelType w:val="hybridMultilevel"/>
    <w:tmpl w:val="1400A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464404">
    <w:abstractNumId w:val="3"/>
  </w:num>
  <w:num w:numId="2" w16cid:durableId="265843792">
    <w:abstractNumId w:val="2"/>
  </w:num>
  <w:num w:numId="3" w16cid:durableId="12340341">
    <w:abstractNumId w:val="9"/>
  </w:num>
  <w:num w:numId="4" w16cid:durableId="452024321">
    <w:abstractNumId w:val="11"/>
  </w:num>
  <w:num w:numId="5" w16cid:durableId="1910385885">
    <w:abstractNumId w:val="12"/>
  </w:num>
  <w:num w:numId="6" w16cid:durableId="831144033">
    <w:abstractNumId w:val="1"/>
  </w:num>
  <w:num w:numId="7" w16cid:durableId="369258096">
    <w:abstractNumId w:val="8"/>
  </w:num>
  <w:num w:numId="8" w16cid:durableId="960762506">
    <w:abstractNumId w:val="13"/>
  </w:num>
  <w:num w:numId="9" w16cid:durableId="801919293">
    <w:abstractNumId w:val="6"/>
  </w:num>
  <w:num w:numId="10" w16cid:durableId="1129979189">
    <w:abstractNumId w:val="10"/>
  </w:num>
  <w:num w:numId="11" w16cid:durableId="297564770">
    <w:abstractNumId w:val="5"/>
  </w:num>
  <w:num w:numId="12" w16cid:durableId="1527979675">
    <w:abstractNumId w:val="14"/>
  </w:num>
  <w:num w:numId="13" w16cid:durableId="601496470">
    <w:abstractNumId w:val="0"/>
  </w:num>
  <w:num w:numId="14" w16cid:durableId="535241639">
    <w:abstractNumId w:val="7"/>
  </w:num>
  <w:num w:numId="15" w16cid:durableId="13306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661"/>
    <w:rsid w:val="0000425F"/>
    <w:rsid w:val="00115564"/>
    <w:rsid w:val="001227AD"/>
    <w:rsid w:val="00123090"/>
    <w:rsid w:val="00166CCE"/>
    <w:rsid w:val="00167DFE"/>
    <w:rsid w:val="00185A0C"/>
    <w:rsid w:val="001B064D"/>
    <w:rsid w:val="001B26D6"/>
    <w:rsid w:val="001B3AA3"/>
    <w:rsid w:val="001C6246"/>
    <w:rsid w:val="0020059F"/>
    <w:rsid w:val="00251E92"/>
    <w:rsid w:val="00254552"/>
    <w:rsid w:val="00254D27"/>
    <w:rsid w:val="002A7B2C"/>
    <w:rsid w:val="002C3C3C"/>
    <w:rsid w:val="002C5A90"/>
    <w:rsid w:val="003B278F"/>
    <w:rsid w:val="003F3333"/>
    <w:rsid w:val="00407BFE"/>
    <w:rsid w:val="004476C1"/>
    <w:rsid w:val="00465FB9"/>
    <w:rsid w:val="004A67ED"/>
    <w:rsid w:val="004B263C"/>
    <w:rsid w:val="004C0874"/>
    <w:rsid w:val="004E7644"/>
    <w:rsid w:val="00506243"/>
    <w:rsid w:val="0052737A"/>
    <w:rsid w:val="00535F8A"/>
    <w:rsid w:val="005E46AD"/>
    <w:rsid w:val="00617765"/>
    <w:rsid w:val="0068615E"/>
    <w:rsid w:val="006934B9"/>
    <w:rsid w:val="006E0E9D"/>
    <w:rsid w:val="00716EA6"/>
    <w:rsid w:val="00785685"/>
    <w:rsid w:val="007D7BDC"/>
    <w:rsid w:val="007E7A2C"/>
    <w:rsid w:val="0082259C"/>
    <w:rsid w:val="0087294E"/>
    <w:rsid w:val="0087649C"/>
    <w:rsid w:val="0089440C"/>
    <w:rsid w:val="008A49A4"/>
    <w:rsid w:val="008A4F76"/>
    <w:rsid w:val="008D2D0C"/>
    <w:rsid w:val="008E5661"/>
    <w:rsid w:val="009038E5"/>
    <w:rsid w:val="00916C6B"/>
    <w:rsid w:val="009313C7"/>
    <w:rsid w:val="00943B53"/>
    <w:rsid w:val="00982DC1"/>
    <w:rsid w:val="009D330E"/>
    <w:rsid w:val="00A22752"/>
    <w:rsid w:val="00AA2F3B"/>
    <w:rsid w:val="00B72789"/>
    <w:rsid w:val="00B91E31"/>
    <w:rsid w:val="00B96084"/>
    <w:rsid w:val="00BA04FD"/>
    <w:rsid w:val="00BA7C27"/>
    <w:rsid w:val="00BB3511"/>
    <w:rsid w:val="00BB4E48"/>
    <w:rsid w:val="00BE0C91"/>
    <w:rsid w:val="00BF22C4"/>
    <w:rsid w:val="00C0404C"/>
    <w:rsid w:val="00C130BE"/>
    <w:rsid w:val="00C1389C"/>
    <w:rsid w:val="00C27CE4"/>
    <w:rsid w:val="00C417F8"/>
    <w:rsid w:val="00C568A7"/>
    <w:rsid w:val="00C57D3C"/>
    <w:rsid w:val="00C57E72"/>
    <w:rsid w:val="00C61FFF"/>
    <w:rsid w:val="00C639B1"/>
    <w:rsid w:val="00C806BB"/>
    <w:rsid w:val="00CD5727"/>
    <w:rsid w:val="00CF315E"/>
    <w:rsid w:val="00CF5BDB"/>
    <w:rsid w:val="00D252AF"/>
    <w:rsid w:val="00D351BD"/>
    <w:rsid w:val="00D8038C"/>
    <w:rsid w:val="00D807CA"/>
    <w:rsid w:val="00D904CB"/>
    <w:rsid w:val="00E21518"/>
    <w:rsid w:val="00E35D00"/>
    <w:rsid w:val="00E4012F"/>
    <w:rsid w:val="00E57D12"/>
    <w:rsid w:val="00E615F7"/>
    <w:rsid w:val="00E67B6D"/>
    <w:rsid w:val="00E8142E"/>
    <w:rsid w:val="00ED3477"/>
    <w:rsid w:val="00F052D5"/>
    <w:rsid w:val="00F55FBB"/>
    <w:rsid w:val="00F600DE"/>
    <w:rsid w:val="00F80FB4"/>
    <w:rsid w:val="00FA7D5B"/>
    <w:rsid w:val="00FD5B11"/>
    <w:rsid w:val="18229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7096E"/>
  <w15:docId w15:val="{87053D5F-BBC4-4318-9955-98B145DB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D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67DF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61"/>
    <w:pPr>
      <w:ind w:left="720"/>
      <w:contextualSpacing/>
    </w:pPr>
  </w:style>
  <w:style w:type="character" w:styleId="Hyperlink">
    <w:name w:val="Hyperlink"/>
    <w:basedOn w:val="DefaultParagraphFont"/>
    <w:uiPriority w:val="99"/>
    <w:unhideWhenUsed/>
    <w:rsid w:val="0087294E"/>
    <w:rPr>
      <w:color w:val="0563C1" w:themeColor="hyperlink"/>
      <w:u w:val="single"/>
    </w:rPr>
  </w:style>
  <w:style w:type="character" w:styleId="CommentReference">
    <w:name w:val="annotation reference"/>
    <w:basedOn w:val="DefaultParagraphFont"/>
    <w:uiPriority w:val="99"/>
    <w:semiHidden/>
    <w:unhideWhenUsed/>
    <w:rsid w:val="00BA04FD"/>
    <w:rPr>
      <w:sz w:val="16"/>
      <w:szCs w:val="16"/>
    </w:rPr>
  </w:style>
  <w:style w:type="paragraph" w:styleId="CommentText">
    <w:name w:val="annotation text"/>
    <w:basedOn w:val="Normal"/>
    <w:link w:val="CommentTextChar"/>
    <w:uiPriority w:val="99"/>
    <w:unhideWhenUsed/>
    <w:rsid w:val="00BA04FD"/>
    <w:pPr>
      <w:spacing w:line="240" w:lineRule="auto"/>
    </w:pPr>
    <w:rPr>
      <w:sz w:val="20"/>
      <w:szCs w:val="20"/>
    </w:rPr>
  </w:style>
  <w:style w:type="character" w:customStyle="1" w:styleId="CommentTextChar">
    <w:name w:val="Comment Text Char"/>
    <w:basedOn w:val="DefaultParagraphFont"/>
    <w:link w:val="CommentText"/>
    <w:uiPriority w:val="99"/>
    <w:rsid w:val="00BA04FD"/>
    <w:rPr>
      <w:sz w:val="20"/>
      <w:szCs w:val="20"/>
    </w:rPr>
  </w:style>
  <w:style w:type="paragraph" w:styleId="CommentSubject">
    <w:name w:val="annotation subject"/>
    <w:basedOn w:val="CommentText"/>
    <w:next w:val="CommentText"/>
    <w:link w:val="CommentSubjectChar"/>
    <w:uiPriority w:val="99"/>
    <w:semiHidden/>
    <w:unhideWhenUsed/>
    <w:rsid w:val="00BA04FD"/>
    <w:rPr>
      <w:b/>
      <w:bCs/>
    </w:rPr>
  </w:style>
  <w:style w:type="character" w:customStyle="1" w:styleId="CommentSubjectChar">
    <w:name w:val="Comment Subject Char"/>
    <w:basedOn w:val="CommentTextChar"/>
    <w:link w:val="CommentSubject"/>
    <w:uiPriority w:val="99"/>
    <w:semiHidden/>
    <w:rsid w:val="00BA04FD"/>
    <w:rPr>
      <w:b/>
      <w:bCs/>
      <w:sz w:val="20"/>
      <w:szCs w:val="20"/>
    </w:rPr>
  </w:style>
  <w:style w:type="paragraph" w:styleId="BalloonText">
    <w:name w:val="Balloon Text"/>
    <w:basedOn w:val="Normal"/>
    <w:link w:val="BalloonTextChar"/>
    <w:uiPriority w:val="99"/>
    <w:semiHidden/>
    <w:unhideWhenUsed/>
    <w:rsid w:val="00BA0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4FD"/>
    <w:rPr>
      <w:rFonts w:ascii="Tahoma" w:hAnsi="Tahoma" w:cs="Tahoma"/>
      <w:sz w:val="16"/>
      <w:szCs w:val="16"/>
    </w:rPr>
  </w:style>
  <w:style w:type="paragraph" w:styleId="Header">
    <w:name w:val="header"/>
    <w:basedOn w:val="Normal"/>
    <w:link w:val="HeaderChar"/>
    <w:uiPriority w:val="99"/>
    <w:unhideWhenUsed/>
    <w:rsid w:val="006E0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E9D"/>
  </w:style>
  <w:style w:type="paragraph" w:styleId="Footer">
    <w:name w:val="footer"/>
    <w:basedOn w:val="Normal"/>
    <w:link w:val="FooterChar"/>
    <w:uiPriority w:val="99"/>
    <w:unhideWhenUsed/>
    <w:rsid w:val="006E0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E9D"/>
  </w:style>
  <w:style w:type="character" w:styleId="FollowedHyperlink">
    <w:name w:val="FollowedHyperlink"/>
    <w:basedOn w:val="DefaultParagraphFont"/>
    <w:uiPriority w:val="99"/>
    <w:semiHidden/>
    <w:unhideWhenUsed/>
    <w:rsid w:val="009D330E"/>
    <w:rPr>
      <w:color w:val="954F72" w:themeColor="followedHyperlink"/>
      <w:u w:val="single"/>
    </w:rPr>
  </w:style>
  <w:style w:type="character" w:customStyle="1" w:styleId="Mention1">
    <w:name w:val="Mention1"/>
    <w:basedOn w:val="DefaultParagraphFont"/>
    <w:uiPriority w:val="99"/>
    <w:semiHidden/>
    <w:unhideWhenUsed/>
    <w:rsid w:val="009D330E"/>
    <w:rPr>
      <w:color w:val="2B579A"/>
      <w:shd w:val="clear" w:color="auto" w:fill="E6E6E6"/>
    </w:rPr>
  </w:style>
  <w:style w:type="character" w:customStyle="1" w:styleId="Heading1Char">
    <w:name w:val="Heading 1 Char"/>
    <w:basedOn w:val="DefaultParagraphFont"/>
    <w:link w:val="Heading1"/>
    <w:uiPriority w:val="9"/>
    <w:rsid w:val="00167DF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67DFE"/>
    <w:rPr>
      <w:rFonts w:asciiTheme="majorHAnsi" w:eastAsiaTheme="majorEastAsia" w:hAnsiTheme="majorHAnsi" w:cstheme="majorBidi"/>
      <w:b/>
      <w:bCs/>
      <w:color w:val="5B9BD5" w:themeColor="accent1"/>
      <w:sz w:val="26"/>
      <w:szCs w:val="26"/>
    </w:rPr>
  </w:style>
  <w:style w:type="paragraph" w:styleId="Revision">
    <w:name w:val="Revision"/>
    <w:hidden/>
    <w:uiPriority w:val="99"/>
    <w:semiHidden/>
    <w:rsid w:val="00E21518"/>
    <w:pPr>
      <w:spacing w:after="0" w:line="240" w:lineRule="auto"/>
    </w:pPr>
  </w:style>
  <w:style w:type="character" w:styleId="UnresolvedMention">
    <w:name w:val="Unresolved Mention"/>
    <w:basedOn w:val="DefaultParagraphFont"/>
    <w:uiPriority w:val="99"/>
    <w:semiHidden/>
    <w:unhideWhenUsed/>
    <w:rsid w:val="0020059F"/>
    <w:rPr>
      <w:color w:val="605E5C"/>
      <w:shd w:val="clear" w:color="auto" w:fill="E1DFDD"/>
    </w:rPr>
  </w:style>
  <w:style w:type="paragraph" w:customStyle="1" w:styleId="pf0">
    <w:name w:val="pf0"/>
    <w:basedOn w:val="Normal"/>
    <w:rsid w:val="00F052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052D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ecs.com/previous-projects/sotl-resource-booklets" TargetMode="External"/><Relationship Id="rId13" Type="http://schemas.openxmlformats.org/officeDocument/2006/relationships/hyperlink" Target="http://www.heedconsulting.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ise.chalmers@uwa.edu.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israel@ahrec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lt.gov.au/altc-teaching-fellow-mark-israel" TargetMode="External"/><Relationship Id="rId4" Type="http://schemas.openxmlformats.org/officeDocument/2006/relationships/settings" Target="settings.xml"/><Relationship Id="rId9" Type="http://schemas.openxmlformats.org/officeDocument/2006/relationships/hyperlink" Target="http://herdsa.org.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eedconsulting.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ADBD-0381-4EF9-9DCE-DDF6FDE2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Western Australia</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Israel</dc:creator>
  <cp:lastModifiedBy>Lee Partridge</cp:lastModifiedBy>
  <cp:revision>2</cp:revision>
  <dcterms:created xsi:type="dcterms:W3CDTF">2025-10-27T06:16:00Z</dcterms:created>
  <dcterms:modified xsi:type="dcterms:W3CDTF">2025-10-27T06:16:00Z</dcterms:modified>
</cp:coreProperties>
</file>