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2695" w14:textId="0F839121" w:rsidR="00FA0AF3" w:rsidRPr="00FA0AF3" w:rsidRDefault="00FA0AF3" w:rsidP="00FA0AF3">
      <w:pPr>
        <w:pStyle w:val="Heading11"/>
        <w:tabs>
          <w:tab w:val="clear" w:pos="420"/>
          <w:tab w:val="left" w:pos="380"/>
        </w:tabs>
        <w:ind w:right="-205"/>
        <w:jc w:val="both"/>
        <w:rPr>
          <w:rFonts w:asciiTheme="minorHAnsi" w:hAnsiTheme="minorHAnsi"/>
          <w:smallCaps w:val="0"/>
          <w:sz w:val="32"/>
        </w:rPr>
      </w:pPr>
      <w:r>
        <w:rPr>
          <w:rFonts w:asciiTheme="minorHAnsi" w:hAnsiTheme="minorHAnsi"/>
          <w:sz w:val="32"/>
        </w:rPr>
        <w:t xml:space="preserve">Mark Israel – </w:t>
      </w:r>
      <w:r w:rsidR="00104CDD">
        <w:rPr>
          <w:rFonts w:asciiTheme="minorHAnsi" w:hAnsiTheme="minorHAnsi"/>
          <w:sz w:val="32"/>
        </w:rPr>
        <w:t xml:space="preserve">Selected </w:t>
      </w:r>
      <w:r w:rsidRPr="00FA0AF3">
        <w:rPr>
          <w:rFonts w:asciiTheme="minorHAnsi" w:hAnsiTheme="minorHAnsi"/>
          <w:sz w:val="32"/>
        </w:rPr>
        <w:t>Higher Education</w:t>
      </w:r>
      <w:r>
        <w:rPr>
          <w:rFonts w:asciiTheme="minorHAnsi" w:hAnsiTheme="minorHAnsi"/>
          <w:smallCaps w:val="0"/>
          <w:sz w:val="32"/>
        </w:rPr>
        <w:t xml:space="preserve"> </w:t>
      </w:r>
      <w:r w:rsidRPr="006E61DE">
        <w:rPr>
          <w:rFonts w:asciiTheme="minorHAnsi" w:hAnsiTheme="minorHAnsi"/>
          <w:smallCaps w:val="0"/>
          <w:sz w:val="32"/>
        </w:rPr>
        <w:t>P</w:t>
      </w:r>
      <w:r w:rsidRPr="00FA0AF3">
        <w:rPr>
          <w:rFonts w:asciiTheme="minorHAnsi" w:hAnsiTheme="minorHAnsi"/>
          <w:sz w:val="32"/>
        </w:rPr>
        <w:t>ublications</w:t>
      </w:r>
      <w:r w:rsidRPr="00FA0AF3">
        <w:rPr>
          <w:rFonts w:asciiTheme="minorHAnsi" w:hAnsiTheme="minorHAnsi"/>
          <w:smallCaps w:val="0"/>
          <w:sz w:val="32"/>
        </w:rPr>
        <w:t xml:space="preserve"> </w:t>
      </w:r>
    </w:p>
    <w:p w14:paraId="21CA08DC" w14:textId="77777777" w:rsidR="00FA0AF3" w:rsidRPr="006E61DE" w:rsidRDefault="00FA0AF3" w:rsidP="00FA0AF3">
      <w:pPr>
        <w:pStyle w:val="insert"/>
        <w:tabs>
          <w:tab w:val="clear" w:pos="380"/>
          <w:tab w:val="left" w:pos="567"/>
        </w:tabs>
        <w:spacing w:before="240" w:after="120" w:line="240" w:lineRule="auto"/>
        <w:ind w:left="0" w:right="-204" w:firstLine="0"/>
        <w:jc w:val="left"/>
        <w:rPr>
          <w:rFonts w:asciiTheme="minorHAnsi" w:hAnsiTheme="minorHAnsi"/>
          <w:sz w:val="22"/>
        </w:rPr>
      </w:pPr>
      <w:r w:rsidRPr="006E61DE">
        <w:rPr>
          <w:rFonts w:asciiTheme="minorHAnsi" w:hAnsiTheme="minorHAnsi"/>
          <w:b/>
          <w:sz w:val="22"/>
        </w:rPr>
        <w:t>Articles in Refereed Journals</w:t>
      </w:r>
    </w:p>
    <w:p w14:paraId="196FDC1B" w14:textId="77777777" w:rsidR="00104CDD" w:rsidRPr="00157FB6" w:rsidRDefault="00104CDD" w:rsidP="00104CDD">
      <w:pPr>
        <w:pStyle w:val="NormalWeb"/>
        <w:numPr>
          <w:ilvl w:val="0"/>
          <w:numId w:val="2"/>
        </w:numPr>
        <w:rPr>
          <w:rFonts w:ascii="Calibri" w:hAnsi="Calibri"/>
          <w:sz w:val="22"/>
          <w:lang w:eastAsia="en-AU"/>
        </w:rPr>
      </w:pPr>
      <w:r w:rsidRPr="0040713C">
        <w:rPr>
          <w:rFonts w:asciiTheme="minorHAnsi" w:hAnsiTheme="minorHAnsi"/>
          <w:b/>
          <w:sz w:val="22"/>
          <w:szCs w:val="22"/>
        </w:rPr>
        <w:t>Davis</w:t>
      </w:r>
      <w:r w:rsidRPr="0040713C">
        <w:rPr>
          <w:rFonts w:asciiTheme="minorHAnsi" w:hAnsiTheme="minorHAnsi"/>
          <w:bCs/>
          <w:sz w:val="22"/>
          <w:szCs w:val="22"/>
        </w:rPr>
        <w:t xml:space="preserve">, K, </w:t>
      </w:r>
      <w:r w:rsidRPr="0040713C">
        <w:rPr>
          <w:rFonts w:asciiTheme="minorHAnsi" w:hAnsiTheme="minorHAnsi"/>
          <w:b/>
          <w:sz w:val="22"/>
          <w:szCs w:val="22"/>
        </w:rPr>
        <w:t>Tan</w:t>
      </w:r>
      <w:r w:rsidRPr="0040713C">
        <w:rPr>
          <w:rFonts w:asciiTheme="minorHAnsi" w:hAnsiTheme="minorHAnsi"/>
          <w:bCs/>
          <w:sz w:val="22"/>
          <w:szCs w:val="22"/>
        </w:rPr>
        <w:t xml:space="preserve">, L, </w:t>
      </w:r>
      <w:r w:rsidRPr="0040713C">
        <w:rPr>
          <w:rFonts w:asciiTheme="minorHAnsi" w:hAnsiTheme="minorHAnsi"/>
          <w:b/>
          <w:sz w:val="22"/>
          <w:szCs w:val="22"/>
        </w:rPr>
        <w:t>Miller</w:t>
      </w:r>
      <w:r w:rsidRPr="0040713C">
        <w:rPr>
          <w:rFonts w:asciiTheme="minorHAnsi" w:hAnsiTheme="minorHAnsi"/>
          <w:bCs/>
          <w:sz w:val="22"/>
          <w:szCs w:val="22"/>
        </w:rPr>
        <w:t xml:space="preserve">, J &amp; </w:t>
      </w:r>
      <w:r w:rsidRPr="0040713C">
        <w:rPr>
          <w:rFonts w:asciiTheme="minorHAnsi" w:hAnsiTheme="minorHAnsi"/>
          <w:b/>
          <w:sz w:val="22"/>
          <w:szCs w:val="22"/>
        </w:rPr>
        <w:t>Israel</w:t>
      </w:r>
      <w:r w:rsidRPr="0040713C">
        <w:rPr>
          <w:rFonts w:asciiTheme="minorHAnsi" w:hAnsiTheme="minorHAnsi"/>
          <w:bCs/>
          <w:sz w:val="22"/>
          <w:szCs w:val="22"/>
        </w:rPr>
        <w:t>, M (</w:t>
      </w:r>
      <w:r>
        <w:rPr>
          <w:rFonts w:asciiTheme="minorHAnsi" w:hAnsiTheme="minorHAnsi"/>
          <w:bCs/>
          <w:sz w:val="22"/>
          <w:szCs w:val="22"/>
        </w:rPr>
        <w:t>2021</w:t>
      </w:r>
      <w:r w:rsidRPr="0040713C">
        <w:rPr>
          <w:rFonts w:asciiTheme="minorHAnsi" w:hAnsiTheme="minorHAnsi"/>
          <w:bCs/>
          <w:sz w:val="22"/>
          <w:szCs w:val="22"/>
        </w:rPr>
        <w:t xml:space="preserve">) Seeking Approval: international higher education students’ experiences of applying for human research ethics clearance in Australia. </w:t>
      </w:r>
      <w:r w:rsidRPr="0040713C">
        <w:rPr>
          <w:rFonts w:asciiTheme="minorHAnsi" w:hAnsiTheme="minorHAnsi"/>
          <w:bCs/>
          <w:i/>
          <w:iCs/>
          <w:sz w:val="22"/>
          <w:szCs w:val="22"/>
        </w:rPr>
        <w:t>Journal of Academic Ethics</w:t>
      </w:r>
      <w:r w:rsidRPr="0040713C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hyperlink r:id="rId7" w:history="1">
        <w:r w:rsidRPr="00157FB6">
          <w:rPr>
            <w:rStyle w:val="Hyperlink"/>
            <w:rFonts w:asciiTheme="minorHAnsi" w:hAnsiTheme="minorHAnsi"/>
            <w:sz w:val="20"/>
            <w:szCs w:val="20"/>
            <w:lang w:val="en-AU"/>
          </w:rPr>
          <w:t>https://doi.org/10.1007/s10805-021-09425-1</w:t>
        </w:r>
      </w:hyperlink>
      <w:r w:rsidRPr="00157FB6">
        <w:rPr>
          <w:rStyle w:val="Hyperlink"/>
          <w:rFonts w:asciiTheme="minorHAnsi" w:hAnsiTheme="minorHAnsi"/>
          <w:sz w:val="20"/>
          <w:szCs w:val="20"/>
          <w:lang w:val="en-AU"/>
        </w:rPr>
        <w:t xml:space="preserve"> </w:t>
      </w:r>
      <w:r w:rsidRPr="005B6BF6">
        <w:rPr>
          <w:rStyle w:val="Hyperlink"/>
          <w:sz w:val="20"/>
          <w:szCs w:val="20"/>
          <w:lang w:val="en-AU"/>
        </w:rPr>
        <w:t xml:space="preserve"> </w:t>
      </w:r>
      <w:hyperlink r:id="rId8" w:history="1">
        <w:r w:rsidRPr="0040713C">
          <w:rPr>
            <w:rStyle w:val="Hyperlink"/>
            <w:rFonts w:asciiTheme="minorHAnsi" w:hAnsiTheme="minorHAnsi"/>
            <w:sz w:val="20"/>
            <w:szCs w:val="20"/>
            <w:lang w:val="en-AU"/>
          </w:rPr>
          <w:t>https://rdcu.be/cmom7</w:t>
        </w:r>
      </w:hyperlink>
      <w:r>
        <w:t xml:space="preserve"> </w:t>
      </w:r>
    </w:p>
    <w:p w14:paraId="6044E5EE" w14:textId="77777777" w:rsidR="00104CDD" w:rsidRPr="00E86E83" w:rsidRDefault="00104CDD" w:rsidP="00104CDD">
      <w:pPr>
        <w:pStyle w:val="insert"/>
        <w:numPr>
          <w:ilvl w:val="0"/>
          <w:numId w:val="2"/>
        </w:numPr>
        <w:tabs>
          <w:tab w:val="left" w:pos="567"/>
        </w:tabs>
        <w:spacing w:before="240" w:line="240" w:lineRule="auto"/>
        <w:ind w:right="-205"/>
        <w:jc w:val="left"/>
        <w:rPr>
          <w:rFonts w:asciiTheme="minorHAnsi" w:hAnsiTheme="minorHAnsi"/>
          <w:sz w:val="22"/>
          <w:szCs w:val="22"/>
        </w:rPr>
      </w:pPr>
      <w:r w:rsidRPr="00E86E83">
        <w:rPr>
          <w:rFonts w:asciiTheme="minorHAnsi" w:hAnsiTheme="minorHAnsi"/>
          <w:b/>
          <w:sz w:val="22"/>
          <w:szCs w:val="22"/>
        </w:rPr>
        <w:t>Steel</w:t>
      </w:r>
      <w:r w:rsidRPr="00E86E83">
        <w:rPr>
          <w:rFonts w:asciiTheme="minorHAnsi" w:hAnsiTheme="minorHAnsi"/>
          <w:sz w:val="22"/>
          <w:szCs w:val="22"/>
        </w:rPr>
        <w:t xml:space="preserve">, A, </w:t>
      </w:r>
      <w:r w:rsidRPr="00E86E83">
        <w:rPr>
          <w:rFonts w:asciiTheme="minorHAnsi" w:hAnsiTheme="minorHAnsi"/>
          <w:b/>
          <w:sz w:val="22"/>
          <w:szCs w:val="22"/>
        </w:rPr>
        <w:t>Skead</w:t>
      </w:r>
      <w:r w:rsidRPr="00E86E83">
        <w:rPr>
          <w:rFonts w:asciiTheme="minorHAnsi" w:hAnsiTheme="minorHAnsi"/>
          <w:sz w:val="22"/>
          <w:szCs w:val="22"/>
        </w:rPr>
        <w:t xml:space="preserve">, N, </w:t>
      </w:r>
      <w:r w:rsidRPr="00E86E83">
        <w:rPr>
          <w:rFonts w:asciiTheme="minorHAnsi" w:hAnsiTheme="minorHAnsi"/>
          <w:b/>
          <w:sz w:val="22"/>
          <w:szCs w:val="22"/>
        </w:rPr>
        <w:t>Galloway</w:t>
      </w:r>
      <w:r w:rsidRPr="00E86E83">
        <w:rPr>
          <w:rFonts w:asciiTheme="minorHAnsi" w:hAnsiTheme="minorHAnsi"/>
          <w:sz w:val="22"/>
          <w:szCs w:val="22"/>
        </w:rPr>
        <w:t xml:space="preserve">, K </w:t>
      </w:r>
      <w:r w:rsidRPr="00E86E83">
        <w:rPr>
          <w:rFonts w:asciiTheme="minorHAnsi" w:hAnsiTheme="minorHAnsi"/>
          <w:b/>
          <w:sz w:val="22"/>
          <w:szCs w:val="22"/>
        </w:rPr>
        <w:t>Heath</w:t>
      </w:r>
      <w:r w:rsidRPr="00E86E83">
        <w:rPr>
          <w:rFonts w:asciiTheme="minorHAnsi" w:hAnsiTheme="minorHAnsi"/>
          <w:sz w:val="22"/>
          <w:szCs w:val="22"/>
        </w:rPr>
        <w:t xml:space="preserve">, M, </w:t>
      </w:r>
      <w:r w:rsidRPr="00E86E83">
        <w:rPr>
          <w:rFonts w:asciiTheme="minorHAnsi" w:hAnsiTheme="minorHAnsi"/>
          <w:b/>
          <w:sz w:val="22"/>
          <w:szCs w:val="22"/>
        </w:rPr>
        <w:t>Hewitt</w:t>
      </w:r>
      <w:r w:rsidRPr="00E86E83">
        <w:rPr>
          <w:rFonts w:asciiTheme="minorHAnsi" w:hAnsiTheme="minorHAnsi"/>
          <w:sz w:val="22"/>
          <w:szCs w:val="22"/>
        </w:rPr>
        <w:t xml:space="preserve">, A &amp; </w:t>
      </w:r>
      <w:r w:rsidRPr="00E86E83">
        <w:rPr>
          <w:rFonts w:asciiTheme="minorHAnsi" w:hAnsiTheme="minorHAnsi"/>
          <w:b/>
          <w:sz w:val="22"/>
          <w:szCs w:val="22"/>
        </w:rPr>
        <w:t>Israel</w:t>
      </w:r>
      <w:r w:rsidRPr="00E86E83">
        <w:rPr>
          <w:rFonts w:asciiTheme="minorHAnsi" w:hAnsiTheme="minorHAnsi"/>
          <w:sz w:val="22"/>
          <w:szCs w:val="22"/>
        </w:rPr>
        <w:t>, M (</w:t>
      </w:r>
      <w:r>
        <w:rPr>
          <w:rFonts w:asciiTheme="minorHAnsi" w:hAnsiTheme="minorHAnsi"/>
          <w:sz w:val="22"/>
          <w:szCs w:val="22"/>
        </w:rPr>
        <w:t>2018</w:t>
      </w:r>
      <w:r w:rsidRPr="00E86E83">
        <w:rPr>
          <w:rFonts w:asciiTheme="minorHAnsi" w:hAnsiTheme="minorHAnsi"/>
          <w:sz w:val="22"/>
          <w:szCs w:val="22"/>
        </w:rPr>
        <w:t xml:space="preserve">) Enabling professional development for sessional colleagues: reflections from the Smart Casual online initiative. </w:t>
      </w:r>
      <w:r w:rsidRPr="00E86E83">
        <w:rPr>
          <w:rFonts w:asciiTheme="minorHAnsi" w:hAnsiTheme="minorHAnsi"/>
          <w:i/>
          <w:sz w:val="22"/>
          <w:szCs w:val="22"/>
        </w:rPr>
        <w:t>Adelaide Law Review</w:t>
      </w:r>
      <w:r>
        <w:rPr>
          <w:rFonts w:asciiTheme="minorHAnsi" w:hAnsiTheme="minorHAnsi"/>
          <w:sz w:val="22"/>
          <w:szCs w:val="22"/>
        </w:rPr>
        <w:t xml:space="preserve"> 39 pp65-98</w:t>
      </w:r>
      <w:r w:rsidRPr="00E86E8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3C1B97">
          <w:rPr>
            <w:rStyle w:val="Hyperlink"/>
            <w:rFonts w:asciiTheme="minorHAnsi" w:hAnsiTheme="minorHAnsi"/>
          </w:rPr>
          <w:t>http://138.25.65.17/au/journals/AdelLawRw/2018/3.html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4E35B620" w14:textId="77777777" w:rsidR="00104CDD" w:rsidRPr="00784513" w:rsidRDefault="00104CDD" w:rsidP="00104CDD">
      <w:pPr>
        <w:pStyle w:val="insert"/>
        <w:numPr>
          <w:ilvl w:val="0"/>
          <w:numId w:val="2"/>
        </w:numPr>
        <w:tabs>
          <w:tab w:val="left" w:pos="567"/>
        </w:tabs>
        <w:spacing w:before="240" w:line="240" w:lineRule="auto"/>
        <w:ind w:right="-205"/>
        <w:jc w:val="left"/>
        <w:rPr>
          <w:rFonts w:asciiTheme="minorHAnsi" w:hAnsiTheme="minorHAnsi"/>
          <w:sz w:val="22"/>
          <w:szCs w:val="22"/>
        </w:rPr>
      </w:pPr>
      <w:r w:rsidRPr="00784513">
        <w:rPr>
          <w:rFonts w:asciiTheme="minorHAnsi" w:hAnsiTheme="minorHAnsi"/>
          <w:b/>
          <w:sz w:val="22"/>
          <w:szCs w:val="22"/>
        </w:rPr>
        <w:t>Heath</w:t>
      </w:r>
      <w:r w:rsidRPr="00784513">
        <w:rPr>
          <w:rFonts w:asciiTheme="minorHAnsi" w:hAnsiTheme="minorHAnsi"/>
          <w:sz w:val="22"/>
          <w:szCs w:val="22"/>
        </w:rPr>
        <w:t xml:space="preserve">, M, </w:t>
      </w:r>
      <w:r w:rsidRPr="00784513">
        <w:rPr>
          <w:rFonts w:asciiTheme="minorHAnsi" w:hAnsiTheme="minorHAnsi"/>
          <w:b/>
          <w:sz w:val="22"/>
          <w:szCs w:val="22"/>
        </w:rPr>
        <w:t>Galloway</w:t>
      </w:r>
      <w:r w:rsidRPr="00784513">
        <w:rPr>
          <w:rFonts w:asciiTheme="minorHAnsi" w:hAnsiTheme="minorHAnsi"/>
          <w:sz w:val="22"/>
          <w:szCs w:val="22"/>
        </w:rPr>
        <w:t xml:space="preserve">, K, </w:t>
      </w:r>
      <w:r w:rsidRPr="00784513">
        <w:rPr>
          <w:rFonts w:asciiTheme="minorHAnsi" w:hAnsiTheme="minorHAnsi"/>
          <w:b/>
          <w:sz w:val="22"/>
          <w:szCs w:val="22"/>
        </w:rPr>
        <w:t>Steel</w:t>
      </w:r>
      <w:r w:rsidRPr="00784513">
        <w:rPr>
          <w:rFonts w:asciiTheme="minorHAnsi" w:hAnsiTheme="minorHAnsi"/>
          <w:sz w:val="22"/>
          <w:szCs w:val="22"/>
        </w:rPr>
        <w:t xml:space="preserve">, A, </w:t>
      </w:r>
      <w:r w:rsidRPr="00784513">
        <w:rPr>
          <w:rFonts w:asciiTheme="minorHAnsi" w:hAnsiTheme="minorHAnsi"/>
          <w:b/>
          <w:sz w:val="22"/>
          <w:szCs w:val="22"/>
        </w:rPr>
        <w:t>Skead</w:t>
      </w:r>
      <w:r w:rsidRPr="00784513">
        <w:rPr>
          <w:rFonts w:asciiTheme="minorHAnsi" w:hAnsiTheme="minorHAnsi"/>
          <w:sz w:val="22"/>
          <w:szCs w:val="22"/>
        </w:rPr>
        <w:t xml:space="preserve">, N &amp; </w:t>
      </w:r>
      <w:r w:rsidRPr="00784513">
        <w:rPr>
          <w:rFonts w:asciiTheme="minorHAnsi" w:hAnsiTheme="minorHAnsi"/>
          <w:b/>
          <w:sz w:val="22"/>
          <w:szCs w:val="22"/>
        </w:rPr>
        <w:t>Israel</w:t>
      </w:r>
      <w:r w:rsidRPr="00784513">
        <w:rPr>
          <w:rFonts w:asciiTheme="minorHAnsi" w:hAnsiTheme="minorHAnsi"/>
          <w:sz w:val="22"/>
          <w:szCs w:val="22"/>
        </w:rPr>
        <w:t>, M (</w:t>
      </w:r>
      <w:r>
        <w:rPr>
          <w:rFonts w:asciiTheme="minorHAnsi" w:hAnsiTheme="minorHAnsi"/>
          <w:sz w:val="22"/>
          <w:szCs w:val="22"/>
        </w:rPr>
        <w:t>2018</w:t>
      </w:r>
      <w:r w:rsidRPr="00784513">
        <w:rPr>
          <w:rFonts w:asciiTheme="minorHAnsi" w:hAnsiTheme="minorHAnsi"/>
          <w:sz w:val="22"/>
          <w:szCs w:val="22"/>
        </w:rPr>
        <w:t xml:space="preserve">) Learning to feel like a lawyer: law teachers, sessional </w:t>
      </w:r>
      <w:proofErr w:type="gramStart"/>
      <w:r w:rsidRPr="00784513">
        <w:rPr>
          <w:rFonts w:asciiTheme="minorHAnsi" w:hAnsiTheme="minorHAnsi"/>
          <w:sz w:val="22"/>
          <w:szCs w:val="22"/>
        </w:rPr>
        <w:t>teaching</w:t>
      </w:r>
      <w:proofErr w:type="gramEnd"/>
      <w:r w:rsidRPr="00784513">
        <w:rPr>
          <w:rFonts w:asciiTheme="minorHAnsi" w:hAnsiTheme="minorHAnsi"/>
          <w:sz w:val="22"/>
          <w:szCs w:val="22"/>
        </w:rPr>
        <w:t xml:space="preserve"> and emotional labour in legal education. </w:t>
      </w:r>
      <w:r w:rsidRPr="00784513">
        <w:rPr>
          <w:rFonts w:asciiTheme="minorHAnsi" w:hAnsiTheme="minorHAnsi"/>
          <w:i/>
          <w:sz w:val="22"/>
          <w:szCs w:val="22"/>
        </w:rPr>
        <w:t>Griffith Law Review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02CBB">
        <w:rPr>
          <w:rFonts w:asciiTheme="minorHAnsi" w:hAnsiTheme="minorHAnsi"/>
          <w:sz w:val="22"/>
          <w:szCs w:val="22"/>
        </w:rPr>
        <w:t xml:space="preserve">26(3) pp430-457. </w:t>
      </w:r>
      <w:hyperlink r:id="rId10" w:history="1">
        <w:r w:rsidRPr="00424B4A">
          <w:rPr>
            <w:rStyle w:val="Hyperlink"/>
            <w:rFonts w:asciiTheme="minorHAnsi" w:hAnsiTheme="minorHAnsi"/>
          </w:rPr>
          <w:t>http://dx.doi.org/10.1080/10383441.2017.1406791</w:t>
        </w:r>
      </w:hyperlink>
    </w:p>
    <w:p w14:paraId="5EC29498" w14:textId="77777777" w:rsidR="00FA0AF3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before="240" w:line="240" w:lineRule="auto"/>
        <w:ind w:right="-205"/>
        <w:jc w:val="left"/>
        <w:rPr>
          <w:rFonts w:asciiTheme="minorHAnsi" w:hAnsiTheme="minorHAnsi"/>
          <w:sz w:val="22"/>
          <w:szCs w:val="22"/>
        </w:rPr>
      </w:pPr>
      <w:r w:rsidRPr="006825CE">
        <w:rPr>
          <w:rFonts w:asciiTheme="minorHAnsi" w:hAnsiTheme="minorHAnsi"/>
          <w:b/>
          <w:sz w:val="22"/>
          <w:szCs w:val="22"/>
        </w:rPr>
        <w:t>Steel</w:t>
      </w:r>
      <w:r w:rsidRPr="006825CE">
        <w:rPr>
          <w:rFonts w:asciiTheme="minorHAnsi" w:hAnsiTheme="minorHAnsi"/>
          <w:sz w:val="22"/>
          <w:szCs w:val="22"/>
        </w:rPr>
        <w:t xml:space="preserve">, A, </w:t>
      </w:r>
      <w:r w:rsidRPr="006825CE">
        <w:rPr>
          <w:rFonts w:asciiTheme="minorHAnsi" w:hAnsiTheme="minorHAnsi"/>
          <w:b/>
          <w:sz w:val="22"/>
          <w:szCs w:val="22"/>
        </w:rPr>
        <w:t>Galloway</w:t>
      </w:r>
      <w:r w:rsidRPr="006825CE">
        <w:rPr>
          <w:rFonts w:asciiTheme="minorHAnsi" w:hAnsiTheme="minorHAnsi"/>
          <w:sz w:val="22"/>
          <w:szCs w:val="22"/>
        </w:rPr>
        <w:t xml:space="preserve">, K, </w:t>
      </w:r>
      <w:r w:rsidRPr="006825CE">
        <w:rPr>
          <w:rFonts w:asciiTheme="minorHAnsi" w:hAnsiTheme="minorHAnsi"/>
          <w:b/>
          <w:sz w:val="22"/>
          <w:szCs w:val="22"/>
        </w:rPr>
        <w:t>Heath</w:t>
      </w:r>
      <w:r w:rsidRPr="006825CE">
        <w:rPr>
          <w:rFonts w:asciiTheme="minorHAnsi" w:hAnsiTheme="minorHAnsi"/>
          <w:sz w:val="22"/>
          <w:szCs w:val="22"/>
        </w:rPr>
        <w:t xml:space="preserve">, M, </w:t>
      </w:r>
      <w:r w:rsidRPr="006825CE">
        <w:rPr>
          <w:rFonts w:asciiTheme="minorHAnsi" w:hAnsiTheme="minorHAnsi"/>
          <w:b/>
          <w:sz w:val="22"/>
          <w:szCs w:val="22"/>
        </w:rPr>
        <w:t>Skead</w:t>
      </w:r>
      <w:r w:rsidRPr="006825CE">
        <w:rPr>
          <w:rFonts w:asciiTheme="minorHAnsi" w:hAnsiTheme="minorHAnsi"/>
          <w:sz w:val="22"/>
          <w:szCs w:val="22"/>
        </w:rPr>
        <w:t xml:space="preserve">, N, </w:t>
      </w:r>
      <w:r w:rsidRPr="006825CE">
        <w:rPr>
          <w:rFonts w:asciiTheme="minorHAnsi" w:hAnsiTheme="minorHAnsi"/>
          <w:b/>
          <w:sz w:val="22"/>
          <w:szCs w:val="22"/>
        </w:rPr>
        <w:t>Israel</w:t>
      </w:r>
      <w:r w:rsidRPr="006825CE">
        <w:rPr>
          <w:rFonts w:asciiTheme="minorHAnsi" w:hAnsiTheme="minorHAnsi"/>
          <w:sz w:val="22"/>
          <w:szCs w:val="22"/>
        </w:rPr>
        <w:t xml:space="preserve">, M &amp; </w:t>
      </w:r>
      <w:r w:rsidRPr="006825CE">
        <w:rPr>
          <w:rFonts w:asciiTheme="minorHAnsi" w:hAnsiTheme="minorHAnsi"/>
          <w:b/>
          <w:sz w:val="22"/>
          <w:szCs w:val="22"/>
        </w:rPr>
        <w:t>Hewitt</w:t>
      </w:r>
      <w:r w:rsidRPr="006825CE">
        <w:rPr>
          <w:rFonts w:asciiTheme="minorHAnsi" w:hAnsiTheme="minorHAnsi"/>
          <w:sz w:val="22"/>
          <w:szCs w:val="22"/>
        </w:rPr>
        <w:t>, A (</w:t>
      </w:r>
      <w:r>
        <w:rPr>
          <w:rFonts w:asciiTheme="minorHAnsi" w:hAnsiTheme="minorHAnsi"/>
          <w:sz w:val="22"/>
          <w:szCs w:val="22"/>
        </w:rPr>
        <w:t>2017</w:t>
      </w:r>
      <w:r w:rsidRPr="006825CE">
        <w:rPr>
          <w:rFonts w:asciiTheme="minorHAnsi" w:hAnsiTheme="minorHAnsi"/>
          <w:sz w:val="22"/>
          <w:szCs w:val="22"/>
        </w:rPr>
        <w:t xml:space="preserve">) Critical legal reading: the elements, strategies and dispositions needed to master this essential skill. </w:t>
      </w:r>
      <w:r w:rsidRPr="006825CE">
        <w:rPr>
          <w:rFonts w:asciiTheme="minorHAnsi" w:hAnsiTheme="minorHAnsi"/>
          <w:i/>
          <w:sz w:val="22"/>
          <w:szCs w:val="22"/>
        </w:rPr>
        <w:t>Legal Education Review</w:t>
      </w:r>
      <w:r w:rsidRPr="006825CE">
        <w:rPr>
          <w:rFonts w:asciiTheme="minorHAnsi" w:hAnsiTheme="minorHAnsi"/>
          <w:sz w:val="22"/>
          <w:szCs w:val="22"/>
        </w:rPr>
        <w:t xml:space="preserve"> 26(2) pp 160-187.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9CB7FA8" w14:textId="77777777" w:rsidR="00FA0AF3" w:rsidRPr="00AE7821" w:rsidRDefault="00D15D6A" w:rsidP="00FA0AF3">
      <w:pPr>
        <w:pStyle w:val="ListParagraph"/>
        <w:ind w:left="360"/>
        <w:rPr>
          <w:rStyle w:val="Hyperlink"/>
          <w:sz w:val="20"/>
        </w:rPr>
      </w:pPr>
      <w:hyperlink r:id="rId11" w:history="1">
        <w:r w:rsidR="00FA0AF3" w:rsidRPr="00AE7821">
          <w:rPr>
            <w:rStyle w:val="Hyperlink"/>
            <w:rFonts w:asciiTheme="minorHAnsi" w:hAnsiTheme="minorHAnsi"/>
            <w:sz w:val="20"/>
          </w:rPr>
          <w:t>http://epublications.bond.edu.au/ler/vol26/iss1/9</w:t>
        </w:r>
      </w:hyperlink>
    </w:p>
    <w:p w14:paraId="3EED3436" w14:textId="77777777" w:rsidR="00FA0AF3" w:rsidRPr="00602806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before="240" w:line="240" w:lineRule="auto"/>
        <w:ind w:right="-205"/>
        <w:jc w:val="left"/>
        <w:rPr>
          <w:rFonts w:asciiTheme="minorHAnsi" w:hAnsiTheme="minorHAnsi"/>
          <w:sz w:val="22"/>
          <w:szCs w:val="22"/>
        </w:rPr>
      </w:pPr>
      <w:r w:rsidRPr="00602806">
        <w:rPr>
          <w:rFonts w:asciiTheme="minorHAnsi" w:hAnsiTheme="minorHAnsi"/>
          <w:b/>
          <w:sz w:val="22"/>
          <w:szCs w:val="22"/>
        </w:rPr>
        <w:t>Israel</w:t>
      </w:r>
      <w:r w:rsidRPr="00602806">
        <w:rPr>
          <w:rFonts w:asciiTheme="minorHAnsi" w:hAnsiTheme="minorHAnsi"/>
          <w:sz w:val="22"/>
          <w:szCs w:val="22"/>
        </w:rPr>
        <w:t xml:space="preserve">, M, </w:t>
      </w:r>
      <w:r w:rsidRPr="00602806">
        <w:rPr>
          <w:rFonts w:asciiTheme="minorHAnsi" w:hAnsiTheme="minorHAnsi"/>
          <w:b/>
          <w:sz w:val="22"/>
          <w:szCs w:val="22"/>
        </w:rPr>
        <w:t>Skead</w:t>
      </w:r>
      <w:r w:rsidRPr="00602806">
        <w:rPr>
          <w:rFonts w:asciiTheme="minorHAnsi" w:hAnsiTheme="minorHAnsi"/>
          <w:sz w:val="22"/>
          <w:szCs w:val="22"/>
        </w:rPr>
        <w:t xml:space="preserve">, N, </w:t>
      </w:r>
      <w:r w:rsidRPr="00602806">
        <w:rPr>
          <w:rFonts w:asciiTheme="minorHAnsi" w:hAnsiTheme="minorHAnsi"/>
          <w:b/>
          <w:sz w:val="22"/>
          <w:szCs w:val="22"/>
        </w:rPr>
        <w:t>Heath</w:t>
      </w:r>
      <w:r w:rsidRPr="00602806">
        <w:rPr>
          <w:rFonts w:asciiTheme="minorHAnsi" w:hAnsiTheme="minorHAnsi"/>
          <w:sz w:val="22"/>
          <w:szCs w:val="22"/>
        </w:rPr>
        <w:t xml:space="preserve">, M, </w:t>
      </w:r>
      <w:r w:rsidRPr="00602806">
        <w:rPr>
          <w:rFonts w:asciiTheme="minorHAnsi" w:hAnsiTheme="minorHAnsi"/>
          <w:b/>
          <w:sz w:val="22"/>
          <w:szCs w:val="22"/>
        </w:rPr>
        <w:t>Hewitt</w:t>
      </w:r>
      <w:r w:rsidRPr="00602806">
        <w:rPr>
          <w:rFonts w:asciiTheme="minorHAnsi" w:hAnsiTheme="minorHAnsi"/>
          <w:sz w:val="22"/>
          <w:szCs w:val="22"/>
        </w:rPr>
        <w:t xml:space="preserve">, A, </w:t>
      </w:r>
      <w:r w:rsidRPr="00602806">
        <w:rPr>
          <w:rFonts w:asciiTheme="minorHAnsi" w:hAnsiTheme="minorHAnsi"/>
          <w:b/>
          <w:sz w:val="22"/>
          <w:szCs w:val="22"/>
        </w:rPr>
        <w:t>Galloway</w:t>
      </w:r>
      <w:r w:rsidRPr="00602806">
        <w:rPr>
          <w:rFonts w:asciiTheme="minorHAnsi" w:hAnsiTheme="minorHAnsi"/>
          <w:sz w:val="22"/>
          <w:szCs w:val="22"/>
        </w:rPr>
        <w:t xml:space="preserve">, K &amp; </w:t>
      </w:r>
      <w:r w:rsidRPr="00602806">
        <w:rPr>
          <w:rFonts w:asciiTheme="minorHAnsi" w:hAnsiTheme="minorHAnsi"/>
          <w:b/>
          <w:sz w:val="22"/>
          <w:szCs w:val="22"/>
        </w:rPr>
        <w:t>Steel</w:t>
      </w:r>
      <w:r w:rsidRPr="00602806">
        <w:rPr>
          <w:rFonts w:asciiTheme="minorHAnsi" w:hAnsiTheme="minorHAnsi"/>
          <w:sz w:val="22"/>
          <w:szCs w:val="22"/>
        </w:rPr>
        <w:t>, A (</w:t>
      </w:r>
      <w:r>
        <w:rPr>
          <w:rFonts w:asciiTheme="minorHAnsi" w:hAnsiTheme="minorHAnsi"/>
          <w:sz w:val="22"/>
          <w:szCs w:val="22"/>
        </w:rPr>
        <w:t>2017</w:t>
      </w:r>
      <w:r w:rsidRPr="00602806">
        <w:rPr>
          <w:rFonts w:asciiTheme="minorHAnsi" w:hAnsiTheme="minorHAnsi"/>
          <w:sz w:val="22"/>
          <w:szCs w:val="22"/>
        </w:rPr>
        <w:t xml:space="preserve">) Fostering ‘Quiet Inclusion’: Interaction and Diversity in the Australian Law Classroom. </w:t>
      </w:r>
      <w:r w:rsidRPr="00602806">
        <w:rPr>
          <w:rFonts w:asciiTheme="minorHAnsi" w:hAnsiTheme="minorHAnsi"/>
          <w:i/>
          <w:sz w:val="22"/>
          <w:szCs w:val="22"/>
        </w:rPr>
        <w:t>Journal of Legal Education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3A">
        <w:rPr>
          <w:rFonts w:asciiTheme="minorHAnsi" w:hAnsiTheme="minorHAnsi"/>
          <w:sz w:val="22"/>
          <w:szCs w:val="22"/>
        </w:rPr>
        <w:t>66/2</w:t>
      </w:r>
      <w:r w:rsidRPr="0060280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AE7821">
          <w:rPr>
            <w:rStyle w:val="Hyperlink"/>
            <w:rFonts w:asciiTheme="minorHAnsi" w:hAnsiTheme="minorHAnsi"/>
          </w:rPr>
          <w:t>http://jle.aals.org/home/vol66/iss2/7/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2CF8CFD7" w14:textId="77777777" w:rsidR="00FA0AF3" w:rsidRPr="00101654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before="240" w:line="240" w:lineRule="auto"/>
        <w:ind w:right="-205"/>
        <w:jc w:val="left"/>
        <w:rPr>
          <w:rFonts w:asciiTheme="minorHAnsi" w:hAnsiTheme="minorHAnsi"/>
          <w:sz w:val="22"/>
          <w:szCs w:val="22"/>
        </w:rPr>
      </w:pPr>
      <w:r w:rsidRPr="00101654">
        <w:rPr>
          <w:rFonts w:asciiTheme="minorHAnsi" w:hAnsiTheme="minorHAnsi"/>
          <w:b/>
          <w:sz w:val="22"/>
          <w:szCs w:val="22"/>
        </w:rPr>
        <w:t>Galloway</w:t>
      </w:r>
      <w:r w:rsidRPr="00101654">
        <w:rPr>
          <w:rFonts w:asciiTheme="minorHAnsi" w:hAnsiTheme="minorHAnsi"/>
          <w:sz w:val="22"/>
          <w:szCs w:val="22"/>
        </w:rPr>
        <w:t xml:space="preserve">, K, </w:t>
      </w:r>
      <w:r w:rsidRPr="00101654">
        <w:rPr>
          <w:rFonts w:asciiTheme="minorHAnsi" w:hAnsiTheme="minorHAnsi"/>
          <w:b/>
          <w:sz w:val="22"/>
          <w:szCs w:val="22"/>
        </w:rPr>
        <w:t>Heath</w:t>
      </w:r>
      <w:r w:rsidRPr="00101654">
        <w:rPr>
          <w:rFonts w:asciiTheme="minorHAnsi" w:hAnsiTheme="minorHAnsi"/>
          <w:sz w:val="22"/>
          <w:szCs w:val="22"/>
        </w:rPr>
        <w:t xml:space="preserve">, M, </w:t>
      </w:r>
      <w:r w:rsidRPr="00101654">
        <w:rPr>
          <w:rFonts w:asciiTheme="minorHAnsi" w:hAnsiTheme="minorHAnsi"/>
          <w:b/>
          <w:sz w:val="22"/>
          <w:szCs w:val="22"/>
        </w:rPr>
        <w:t>Steel</w:t>
      </w:r>
      <w:r w:rsidRPr="00101654">
        <w:rPr>
          <w:rFonts w:asciiTheme="minorHAnsi" w:hAnsiTheme="minorHAnsi"/>
          <w:sz w:val="22"/>
          <w:szCs w:val="22"/>
        </w:rPr>
        <w:t xml:space="preserve">, A, </w:t>
      </w:r>
      <w:r w:rsidRPr="00101654">
        <w:rPr>
          <w:rFonts w:asciiTheme="minorHAnsi" w:hAnsiTheme="minorHAnsi"/>
          <w:b/>
          <w:sz w:val="22"/>
          <w:szCs w:val="22"/>
        </w:rPr>
        <w:t>Hewitt</w:t>
      </w:r>
      <w:r w:rsidRPr="00101654">
        <w:rPr>
          <w:rFonts w:asciiTheme="minorHAnsi" w:hAnsiTheme="minorHAnsi"/>
          <w:sz w:val="22"/>
          <w:szCs w:val="22"/>
        </w:rPr>
        <w:t xml:space="preserve">, A, </w:t>
      </w:r>
      <w:r w:rsidRPr="00101654">
        <w:rPr>
          <w:rFonts w:asciiTheme="minorHAnsi" w:hAnsiTheme="minorHAnsi"/>
          <w:b/>
          <w:sz w:val="22"/>
          <w:szCs w:val="22"/>
        </w:rPr>
        <w:t>Israel</w:t>
      </w:r>
      <w:r w:rsidRPr="00101654">
        <w:rPr>
          <w:rFonts w:asciiTheme="minorHAnsi" w:hAnsiTheme="minorHAnsi"/>
          <w:sz w:val="22"/>
          <w:szCs w:val="22"/>
        </w:rPr>
        <w:t xml:space="preserve">, M &amp; </w:t>
      </w:r>
      <w:r w:rsidRPr="00101654">
        <w:rPr>
          <w:rFonts w:asciiTheme="minorHAnsi" w:hAnsiTheme="minorHAnsi"/>
          <w:b/>
          <w:sz w:val="22"/>
          <w:szCs w:val="22"/>
        </w:rPr>
        <w:t>Skead</w:t>
      </w:r>
      <w:r w:rsidRPr="00101654">
        <w:rPr>
          <w:rFonts w:asciiTheme="minorHAnsi" w:hAnsiTheme="minorHAnsi"/>
          <w:sz w:val="22"/>
          <w:szCs w:val="22"/>
        </w:rPr>
        <w:t xml:space="preserve">, N (2016) Working the Nexus: Teaching Students to Think, Read and Problem-Solving Problem-solve like a Lawyer. </w:t>
      </w:r>
      <w:r w:rsidRPr="00101654">
        <w:rPr>
          <w:rFonts w:asciiTheme="minorHAnsi" w:hAnsiTheme="minorHAnsi"/>
          <w:i/>
          <w:sz w:val="22"/>
          <w:szCs w:val="22"/>
        </w:rPr>
        <w:t>Legal Education Review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 xml:space="preserve">26 (1&amp;2) pp 95-114. </w:t>
      </w:r>
      <w:hyperlink r:id="rId13" w:history="1">
        <w:r w:rsidRPr="00AE7821">
          <w:rPr>
            <w:rStyle w:val="Hyperlink"/>
            <w:rFonts w:asciiTheme="minorHAnsi" w:hAnsiTheme="minorHAnsi"/>
          </w:rPr>
          <w:t>http://www.ler.edu.au/volume-26/5_Galloway%20et%20al_Working%20the%20Nexus_3May2017.pdf</w:t>
        </w:r>
      </w:hyperlink>
      <w:r>
        <w:rPr>
          <w:rFonts w:ascii="Calibri" w:hAnsi="Calibri"/>
          <w:color w:val="000000"/>
          <w:sz w:val="21"/>
          <w:szCs w:val="21"/>
        </w:rPr>
        <w:t xml:space="preserve"> </w:t>
      </w:r>
    </w:p>
    <w:p w14:paraId="604A24E0" w14:textId="77777777" w:rsidR="00FA0AF3" w:rsidRPr="00AE7821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before="240" w:line="240" w:lineRule="auto"/>
        <w:ind w:right="-205"/>
        <w:jc w:val="left"/>
        <w:rPr>
          <w:rStyle w:val="Hyperlink"/>
        </w:rPr>
      </w:pPr>
      <w:r w:rsidRPr="006E61DE">
        <w:rPr>
          <w:rFonts w:asciiTheme="minorHAnsi" w:hAnsiTheme="minorHAnsi"/>
          <w:b/>
          <w:sz w:val="22"/>
          <w:szCs w:val="22"/>
        </w:rPr>
        <w:t>Israel</w:t>
      </w:r>
      <w:r w:rsidRPr="006E61DE">
        <w:rPr>
          <w:rFonts w:asciiTheme="minorHAnsi" w:hAnsiTheme="minorHAnsi"/>
          <w:sz w:val="22"/>
          <w:szCs w:val="22"/>
        </w:rPr>
        <w:t xml:space="preserve">, M, </w:t>
      </w:r>
      <w:r w:rsidRPr="006E61DE">
        <w:rPr>
          <w:rFonts w:asciiTheme="minorHAnsi" w:hAnsiTheme="minorHAnsi"/>
          <w:b/>
          <w:sz w:val="22"/>
          <w:szCs w:val="22"/>
        </w:rPr>
        <w:t>Skead</w:t>
      </w:r>
      <w:r w:rsidRPr="006E61DE">
        <w:rPr>
          <w:rFonts w:asciiTheme="minorHAnsi" w:hAnsiTheme="minorHAnsi"/>
          <w:sz w:val="22"/>
          <w:szCs w:val="22"/>
        </w:rPr>
        <w:t xml:space="preserve">, N, </w:t>
      </w:r>
      <w:r w:rsidRPr="006E61DE">
        <w:rPr>
          <w:rFonts w:asciiTheme="minorHAnsi" w:hAnsiTheme="minorHAnsi"/>
          <w:b/>
          <w:sz w:val="22"/>
          <w:szCs w:val="22"/>
        </w:rPr>
        <w:t>Heath</w:t>
      </w:r>
      <w:r w:rsidRPr="006E61DE">
        <w:rPr>
          <w:rFonts w:asciiTheme="minorHAnsi" w:hAnsiTheme="minorHAnsi"/>
          <w:sz w:val="22"/>
          <w:szCs w:val="22"/>
        </w:rPr>
        <w:t xml:space="preserve">, M, </w:t>
      </w:r>
      <w:r w:rsidRPr="006E61DE">
        <w:rPr>
          <w:rFonts w:asciiTheme="minorHAnsi" w:hAnsiTheme="minorHAnsi"/>
          <w:b/>
          <w:sz w:val="22"/>
          <w:szCs w:val="22"/>
        </w:rPr>
        <w:t>Hewitt</w:t>
      </w:r>
      <w:r w:rsidRPr="006E61DE">
        <w:rPr>
          <w:rFonts w:asciiTheme="minorHAnsi" w:hAnsiTheme="minorHAnsi"/>
          <w:sz w:val="22"/>
          <w:szCs w:val="22"/>
        </w:rPr>
        <w:t xml:space="preserve">, A, </w:t>
      </w:r>
      <w:r w:rsidRPr="006E61DE">
        <w:rPr>
          <w:rFonts w:asciiTheme="minorHAnsi" w:hAnsiTheme="minorHAnsi"/>
          <w:b/>
          <w:sz w:val="22"/>
          <w:szCs w:val="22"/>
        </w:rPr>
        <w:t>Galloway</w:t>
      </w:r>
      <w:r w:rsidRPr="006E61DE">
        <w:rPr>
          <w:rFonts w:asciiTheme="minorHAnsi" w:hAnsiTheme="minorHAnsi"/>
          <w:sz w:val="22"/>
          <w:szCs w:val="22"/>
        </w:rPr>
        <w:t xml:space="preserve">, K &amp; </w:t>
      </w:r>
      <w:r w:rsidRPr="006E61DE">
        <w:rPr>
          <w:rFonts w:asciiTheme="minorHAnsi" w:hAnsiTheme="minorHAnsi"/>
          <w:b/>
          <w:sz w:val="22"/>
          <w:szCs w:val="22"/>
        </w:rPr>
        <w:t>Steel</w:t>
      </w:r>
      <w:r w:rsidRPr="006E61DE">
        <w:rPr>
          <w:rFonts w:asciiTheme="minorHAnsi" w:hAnsiTheme="minorHAnsi"/>
          <w:sz w:val="22"/>
          <w:szCs w:val="22"/>
        </w:rPr>
        <w:t>, A (</w:t>
      </w:r>
      <w:r>
        <w:rPr>
          <w:rFonts w:asciiTheme="minorHAnsi" w:hAnsiTheme="minorHAnsi"/>
          <w:sz w:val="22"/>
          <w:szCs w:val="22"/>
        </w:rPr>
        <w:t>2016</w:t>
      </w:r>
      <w:r w:rsidRPr="006E61DE">
        <w:rPr>
          <w:rFonts w:asciiTheme="minorHAnsi" w:hAnsiTheme="minorHAnsi"/>
          <w:sz w:val="22"/>
          <w:szCs w:val="22"/>
        </w:rPr>
        <w:t xml:space="preserve">) </w:t>
      </w:r>
      <w:r w:rsidRPr="006E61DE">
        <w:rPr>
          <w:rFonts w:asciiTheme="minorHAnsi" w:hAnsiTheme="minorHAnsi"/>
          <w:sz w:val="22"/>
        </w:rPr>
        <w:t xml:space="preserve">Interaction and Diversity in the Australian Law Classroom. </w:t>
      </w:r>
      <w:r w:rsidRPr="006E61DE">
        <w:rPr>
          <w:rFonts w:asciiTheme="minorHAnsi" w:hAnsiTheme="minorHAnsi"/>
          <w:i/>
          <w:iCs/>
          <w:sz w:val="22"/>
        </w:rPr>
        <w:t>Research and Development in Higher Education: The Shape of Higher Education</w:t>
      </w:r>
      <w:r w:rsidRPr="006E61DE">
        <w:rPr>
          <w:rFonts w:asciiTheme="minorHAnsi" w:hAnsiTheme="minorHAnsi"/>
          <w:iCs/>
          <w:sz w:val="22"/>
        </w:rPr>
        <w:t>, 39.</w:t>
      </w:r>
      <w:r>
        <w:rPr>
          <w:rFonts w:asciiTheme="minorHAnsi" w:hAnsiTheme="minorHAnsi"/>
          <w:iCs/>
          <w:sz w:val="22"/>
        </w:rPr>
        <w:t xml:space="preserve"> </w:t>
      </w:r>
      <w:hyperlink r:id="rId14" w:history="1">
        <w:r w:rsidRPr="00AE7821">
          <w:rPr>
            <w:rStyle w:val="Hyperlink"/>
            <w:rFonts w:asciiTheme="minorHAnsi" w:hAnsiTheme="minorHAnsi"/>
          </w:rPr>
          <w:t>https://herdsa.org.au/publications/conference-proceedings/research-and-development-higher-education-shape-higher-12</w:t>
        </w:r>
      </w:hyperlink>
      <w:r w:rsidRPr="00AE7821">
        <w:rPr>
          <w:rStyle w:val="Hyperlink"/>
        </w:rPr>
        <w:t xml:space="preserve"> </w:t>
      </w:r>
    </w:p>
    <w:p w14:paraId="177580F1" w14:textId="77777777" w:rsidR="00FA0AF3" w:rsidRPr="006E61DE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before="240" w:line="240" w:lineRule="auto"/>
        <w:ind w:right="-205"/>
        <w:jc w:val="left"/>
        <w:rPr>
          <w:rFonts w:asciiTheme="minorHAnsi" w:hAnsiTheme="minorHAnsi"/>
          <w:sz w:val="22"/>
          <w:szCs w:val="22"/>
        </w:rPr>
      </w:pPr>
      <w:bookmarkStart w:id="0" w:name="_Toc372533027"/>
      <w:r w:rsidRPr="006E61DE">
        <w:rPr>
          <w:rFonts w:asciiTheme="minorHAnsi" w:hAnsiTheme="minorHAnsi"/>
          <w:b/>
          <w:sz w:val="22"/>
        </w:rPr>
        <w:t>Heath</w:t>
      </w:r>
      <w:r w:rsidRPr="006E61DE">
        <w:rPr>
          <w:rFonts w:asciiTheme="minorHAnsi" w:hAnsiTheme="minorHAnsi"/>
          <w:sz w:val="22"/>
        </w:rPr>
        <w:t xml:space="preserve">, M, </w:t>
      </w:r>
      <w:r w:rsidRPr="006E61DE">
        <w:rPr>
          <w:rFonts w:asciiTheme="minorHAnsi" w:hAnsiTheme="minorHAnsi"/>
          <w:b/>
          <w:sz w:val="22"/>
        </w:rPr>
        <w:t>Hewitt</w:t>
      </w:r>
      <w:r w:rsidRPr="006E61DE">
        <w:rPr>
          <w:rFonts w:asciiTheme="minorHAnsi" w:hAnsiTheme="minorHAnsi"/>
          <w:sz w:val="22"/>
        </w:rPr>
        <w:t xml:space="preserve">, A, </w:t>
      </w: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, M &amp; </w:t>
      </w:r>
      <w:r w:rsidRPr="006E61DE">
        <w:rPr>
          <w:rFonts w:asciiTheme="minorHAnsi" w:hAnsiTheme="minorHAnsi"/>
          <w:b/>
          <w:sz w:val="22"/>
        </w:rPr>
        <w:t>Skead</w:t>
      </w:r>
      <w:r w:rsidRPr="006E61DE">
        <w:rPr>
          <w:rFonts w:asciiTheme="minorHAnsi" w:hAnsiTheme="minorHAnsi"/>
          <w:sz w:val="22"/>
        </w:rPr>
        <w:t>, N (2015) Beginning to Address ‘The Elephant in the Classroom’: Investigating and Responding to Australian Sessional Law Teachers’ Unmet Professional Development Needs</w:t>
      </w:r>
      <w:bookmarkEnd w:id="0"/>
      <w:r w:rsidRPr="006E61DE">
        <w:rPr>
          <w:rFonts w:asciiTheme="minorHAnsi" w:hAnsiTheme="minorHAnsi"/>
          <w:sz w:val="22"/>
        </w:rPr>
        <w:t xml:space="preserve">.  </w:t>
      </w:r>
      <w:r w:rsidRPr="006E61DE">
        <w:rPr>
          <w:rFonts w:asciiTheme="minorHAnsi" w:hAnsiTheme="minorHAnsi"/>
          <w:i/>
          <w:sz w:val="22"/>
        </w:rPr>
        <w:t>UNSW</w:t>
      </w:r>
      <w:r w:rsidRPr="006E61DE">
        <w:rPr>
          <w:rFonts w:asciiTheme="minorHAnsi" w:hAnsiTheme="minorHAnsi"/>
          <w:sz w:val="22"/>
        </w:rPr>
        <w:t xml:space="preserve"> </w:t>
      </w:r>
      <w:r w:rsidRPr="006E61DE">
        <w:rPr>
          <w:rFonts w:asciiTheme="minorHAnsi" w:hAnsiTheme="minorHAnsi"/>
          <w:i/>
          <w:sz w:val="22"/>
        </w:rPr>
        <w:t>Law</w:t>
      </w:r>
      <w:r w:rsidRPr="006E61DE">
        <w:rPr>
          <w:rFonts w:asciiTheme="minorHAnsi" w:hAnsiTheme="minorHAnsi"/>
          <w:sz w:val="22"/>
        </w:rPr>
        <w:t xml:space="preserve"> </w:t>
      </w:r>
      <w:r w:rsidRPr="006E61DE">
        <w:rPr>
          <w:rFonts w:asciiTheme="minorHAnsi" w:hAnsiTheme="minorHAnsi"/>
          <w:i/>
          <w:sz w:val="22"/>
        </w:rPr>
        <w:t xml:space="preserve">Journal </w:t>
      </w:r>
      <w:r w:rsidRPr="006E61DE">
        <w:rPr>
          <w:rFonts w:asciiTheme="minorHAnsi" w:hAnsiTheme="minorHAnsi"/>
          <w:sz w:val="22"/>
        </w:rPr>
        <w:t xml:space="preserve">38/1 pp260-263. ISSN: 0313-0096 </w:t>
      </w:r>
      <w:hyperlink r:id="rId15" w:history="1">
        <w:r w:rsidRPr="005F5AFD">
          <w:rPr>
            <w:rStyle w:val="Hyperlink"/>
            <w:rFonts w:asciiTheme="minorHAnsi" w:hAnsiTheme="minorHAnsi"/>
          </w:rPr>
          <w:t>http://www.unswlawjournal.unsw.edu.au/sites/default/files/g9_heath_hewitt_israel_skead.pdf</w:t>
        </w:r>
      </w:hyperlink>
      <w:r w:rsidRPr="006E61DE">
        <w:rPr>
          <w:rFonts w:asciiTheme="minorHAnsi" w:hAnsiTheme="minorHAnsi"/>
          <w:sz w:val="22"/>
        </w:rPr>
        <w:t xml:space="preserve"> </w:t>
      </w:r>
    </w:p>
    <w:p w14:paraId="11E04FAE" w14:textId="77777777" w:rsidR="00FA0AF3" w:rsidRPr="006E61DE" w:rsidRDefault="00FA0AF3" w:rsidP="00FA0AF3">
      <w:pPr>
        <w:pStyle w:val="insert"/>
        <w:numPr>
          <w:ilvl w:val="0"/>
          <w:numId w:val="2"/>
        </w:numPr>
        <w:tabs>
          <w:tab w:val="clear" w:pos="360"/>
          <w:tab w:val="left" w:pos="567"/>
        </w:tabs>
        <w:spacing w:before="240" w:line="240" w:lineRule="auto"/>
        <w:ind w:left="357" w:right="-204" w:hanging="357"/>
        <w:jc w:val="left"/>
        <w:rPr>
          <w:rFonts w:asciiTheme="minorHAnsi" w:hAnsiTheme="minorHAnsi"/>
          <w:sz w:val="22"/>
        </w:rPr>
      </w:pPr>
      <w:proofErr w:type="spellStart"/>
      <w:r w:rsidRPr="006E61DE">
        <w:rPr>
          <w:rFonts w:asciiTheme="minorHAnsi" w:hAnsiTheme="minorHAnsi"/>
          <w:b/>
          <w:sz w:val="22"/>
        </w:rPr>
        <w:t>Handsley</w:t>
      </w:r>
      <w:proofErr w:type="spellEnd"/>
      <w:r w:rsidRPr="006E61DE">
        <w:rPr>
          <w:rFonts w:asciiTheme="minorHAnsi" w:hAnsiTheme="minorHAnsi"/>
          <w:sz w:val="22"/>
        </w:rPr>
        <w:t xml:space="preserve">, E, </w:t>
      </w:r>
      <w:r w:rsidRPr="006E61DE">
        <w:rPr>
          <w:rFonts w:asciiTheme="minorHAnsi" w:hAnsiTheme="minorHAnsi"/>
          <w:b/>
          <w:sz w:val="22"/>
        </w:rPr>
        <w:t>Davis</w:t>
      </w:r>
      <w:r w:rsidRPr="006E61DE">
        <w:rPr>
          <w:rFonts w:asciiTheme="minorHAnsi" w:hAnsiTheme="minorHAnsi"/>
          <w:sz w:val="22"/>
        </w:rPr>
        <w:t xml:space="preserve">, G &amp; </w:t>
      </w: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, M (2005) Law School Lemonade – or, can you turn external pressures into educational advantages? </w:t>
      </w:r>
      <w:r w:rsidRPr="006E61DE">
        <w:rPr>
          <w:rFonts w:asciiTheme="minorHAnsi" w:hAnsiTheme="minorHAnsi"/>
          <w:i/>
          <w:sz w:val="22"/>
        </w:rPr>
        <w:t>Griffith Law Review</w:t>
      </w:r>
      <w:r w:rsidRPr="006E61DE">
        <w:rPr>
          <w:rFonts w:asciiTheme="minorHAnsi" w:hAnsiTheme="minorHAnsi"/>
          <w:sz w:val="22"/>
        </w:rPr>
        <w:t xml:space="preserve"> 14/1</w:t>
      </w:r>
      <w:r w:rsidRPr="006E61DE">
        <w:rPr>
          <w:rFonts w:asciiTheme="minorHAnsi" w:hAnsiTheme="minorHAnsi"/>
          <w:i/>
          <w:sz w:val="22"/>
        </w:rPr>
        <w:t>.</w:t>
      </w:r>
      <w:r w:rsidRPr="006E61DE">
        <w:rPr>
          <w:rFonts w:asciiTheme="minorHAnsi" w:hAnsiTheme="minorHAnsi"/>
          <w:sz w:val="22"/>
        </w:rPr>
        <w:t xml:space="preserve"> pp108-133. ISSN 1038-3441 </w:t>
      </w:r>
      <w:hyperlink r:id="rId16" w:history="1">
        <w:r w:rsidRPr="005F5AFD">
          <w:rPr>
            <w:rStyle w:val="Hyperlink"/>
            <w:rFonts w:asciiTheme="minorHAnsi" w:hAnsiTheme="minorHAnsi"/>
          </w:rPr>
          <w:t>http://www.griffith.edu.au/publication/glr/frameset1.html</w:t>
        </w:r>
      </w:hyperlink>
      <w:r w:rsidRPr="006E61DE">
        <w:rPr>
          <w:rFonts w:asciiTheme="minorHAnsi" w:hAnsiTheme="minorHAnsi"/>
          <w:sz w:val="22"/>
        </w:rPr>
        <w:t xml:space="preserve"> </w:t>
      </w:r>
    </w:p>
    <w:p w14:paraId="655D8D8A" w14:textId="77777777" w:rsidR="00FA0AF3" w:rsidRPr="006E61DE" w:rsidRDefault="00FA0AF3" w:rsidP="00FA0AF3">
      <w:pPr>
        <w:pStyle w:val="insert"/>
        <w:numPr>
          <w:ilvl w:val="0"/>
          <w:numId w:val="2"/>
        </w:numPr>
        <w:tabs>
          <w:tab w:val="clear" w:pos="360"/>
          <w:tab w:val="left" w:pos="567"/>
        </w:tabs>
        <w:spacing w:before="240" w:line="240" w:lineRule="auto"/>
        <w:ind w:right="-205"/>
        <w:jc w:val="left"/>
        <w:rPr>
          <w:rFonts w:asciiTheme="minorHAnsi" w:hAnsiTheme="minorHAnsi"/>
          <w:sz w:val="22"/>
        </w:rPr>
      </w:pP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, M, </w:t>
      </w:r>
      <w:proofErr w:type="spellStart"/>
      <w:r w:rsidRPr="006E61DE">
        <w:rPr>
          <w:rFonts w:asciiTheme="minorHAnsi" w:hAnsiTheme="minorHAnsi"/>
          <w:b/>
          <w:sz w:val="22"/>
        </w:rPr>
        <w:t>Handsley</w:t>
      </w:r>
      <w:proofErr w:type="spellEnd"/>
      <w:r w:rsidRPr="006E61DE">
        <w:rPr>
          <w:rFonts w:asciiTheme="minorHAnsi" w:hAnsiTheme="minorHAnsi"/>
          <w:sz w:val="22"/>
        </w:rPr>
        <w:t xml:space="preserve">, E &amp; </w:t>
      </w:r>
      <w:r w:rsidRPr="006E61DE">
        <w:rPr>
          <w:rFonts w:asciiTheme="minorHAnsi" w:hAnsiTheme="minorHAnsi"/>
          <w:b/>
          <w:sz w:val="22"/>
        </w:rPr>
        <w:t>Davis</w:t>
      </w:r>
      <w:r w:rsidRPr="006E61DE">
        <w:rPr>
          <w:rFonts w:asciiTheme="minorHAnsi" w:hAnsiTheme="minorHAnsi"/>
          <w:sz w:val="22"/>
        </w:rPr>
        <w:t xml:space="preserve">, G (2004) ‘It’s the Vibe’: Fostering Student Collaborative Learning in Constitutional Law in Australia. </w:t>
      </w:r>
      <w:r w:rsidRPr="006E61DE">
        <w:rPr>
          <w:rFonts w:asciiTheme="minorHAnsi" w:hAnsiTheme="minorHAnsi"/>
          <w:i/>
          <w:sz w:val="22"/>
        </w:rPr>
        <w:t xml:space="preserve">The Law Teacher: </w:t>
      </w:r>
      <w:r w:rsidRPr="006E61DE">
        <w:rPr>
          <w:rFonts w:asciiTheme="minorHAnsi" w:hAnsiTheme="minorHAnsi"/>
          <w:bCs/>
          <w:i/>
          <w:sz w:val="22"/>
        </w:rPr>
        <w:t>The International Journal of Legal Education</w:t>
      </w:r>
      <w:r w:rsidRPr="006E61DE">
        <w:rPr>
          <w:rFonts w:asciiTheme="minorHAnsi" w:hAnsiTheme="minorHAnsi"/>
          <w:sz w:val="22"/>
        </w:rPr>
        <w:t xml:space="preserve"> (United Kingdom) 38/1 pp1-26. ISSN </w:t>
      </w:r>
      <w:r w:rsidRPr="006E61DE">
        <w:rPr>
          <w:rStyle w:val="pheader"/>
          <w:rFonts w:asciiTheme="minorHAnsi" w:hAnsiTheme="minorHAnsi"/>
          <w:sz w:val="22"/>
        </w:rPr>
        <w:t>0303-9400</w:t>
      </w:r>
    </w:p>
    <w:p w14:paraId="510BE456" w14:textId="77777777" w:rsidR="00FA0AF3" w:rsidRPr="006E61DE" w:rsidRDefault="00FA0AF3" w:rsidP="00FA0AF3">
      <w:pPr>
        <w:pStyle w:val="insert"/>
        <w:numPr>
          <w:ilvl w:val="0"/>
          <w:numId w:val="2"/>
        </w:numPr>
        <w:tabs>
          <w:tab w:val="clear" w:pos="360"/>
          <w:tab w:val="left" w:pos="567"/>
        </w:tabs>
        <w:spacing w:before="240" w:line="240" w:lineRule="auto"/>
        <w:ind w:right="-205"/>
        <w:jc w:val="left"/>
        <w:rPr>
          <w:rFonts w:asciiTheme="minorHAnsi" w:hAnsiTheme="minorHAnsi"/>
          <w:sz w:val="22"/>
        </w:rPr>
      </w:pP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, M (1997) Teaching Criminology through Interview-Based Assignments. </w:t>
      </w:r>
      <w:r w:rsidRPr="006E61DE">
        <w:rPr>
          <w:rFonts w:asciiTheme="minorHAnsi" w:hAnsiTheme="minorHAnsi"/>
          <w:i/>
          <w:sz w:val="22"/>
        </w:rPr>
        <w:t xml:space="preserve">Legal Education Review </w:t>
      </w:r>
      <w:r w:rsidRPr="006E61DE">
        <w:rPr>
          <w:rFonts w:asciiTheme="minorHAnsi" w:hAnsiTheme="minorHAnsi"/>
          <w:sz w:val="22"/>
        </w:rPr>
        <w:t>(Australia) 8/2. pp141-159. ISSN 1003-2839</w:t>
      </w:r>
    </w:p>
    <w:p w14:paraId="5043A516" w14:textId="77777777" w:rsidR="00FA0AF3" w:rsidRPr="006E61DE" w:rsidRDefault="00FA0AF3" w:rsidP="00FA0AF3">
      <w:pPr>
        <w:pStyle w:val="insert"/>
        <w:numPr>
          <w:ilvl w:val="0"/>
          <w:numId w:val="2"/>
        </w:numPr>
        <w:tabs>
          <w:tab w:val="clear" w:pos="360"/>
          <w:tab w:val="left" w:pos="567"/>
        </w:tabs>
        <w:spacing w:before="240" w:line="240" w:lineRule="auto"/>
        <w:ind w:right="-205"/>
        <w:jc w:val="left"/>
        <w:rPr>
          <w:rFonts w:asciiTheme="minorHAnsi" w:hAnsiTheme="minorHAnsi"/>
          <w:sz w:val="22"/>
        </w:rPr>
      </w:pPr>
      <w:r w:rsidRPr="006E61DE">
        <w:rPr>
          <w:rFonts w:asciiTheme="minorHAnsi" w:hAnsiTheme="minorHAnsi"/>
          <w:b/>
          <w:sz w:val="22"/>
        </w:rPr>
        <w:lastRenderedPageBreak/>
        <w:t>Israel</w:t>
      </w:r>
      <w:r w:rsidRPr="006E61DE">
        <w:rPr>
          <w:rFonts w:asciiTheme="minorHAnsi" w:hAnsiTheme="minorHAnsi"/>
          <w:sz w:val="22"/>
        </w:rPr>
        <w:t xml:space="preserve">, M (1997) Reproducing Criminology: The Art of Reading Criminology Textbooks for Australians. </w:t>
      </w:r>
      <w:r w:rsidRPr="006E61DE">
        <w:rPr>
          <w:rFonts w:asciiTheme="minorHAnsi" w:hAnsiTheme="minorHAnsi"/>
          <w:i/>
          <w:sz w:val="22"/>
        </w:rPr>
        <w:t xml:space="preserve">Australian and New Zealand Journal of Criminology </w:t>
      </w:r>
      <w:r w:rsidRPr="006E61DE">
        <w:rPr>
          <w:rFonts w:asciiTheme="minorHAnsi" w:hAnsiTheme="minorHAnsi"/>
          <w:sz w:val="22"/>
        </w:rPr>
        <w:t xml:space="preserve">30/3. pp312-329. ISSN 0004-8658 </w:t>
      </w:r>
    </w:p>
    <w:p w14:paraId="4E2121C5" w14:textId="77777777" w:rsidR="00FA0AF3" w:rsidRPr="006E61DE" w:rsidRDefault="00FA0AF3" w:rsidP="00FA0AF3">
      <w:pPr>
        <w:pStyle w:val="insert"/>
        <w:tabs>
          <w:tab w:val="clear" w:pos="380"/>
          <w:tab w:val="left" w:pos="567"/>
        </w:tabs>
        <w:spacing w:before="240" w:line="240" w:lineRule="auto"/>
        <w:ind w:right="-205"/>
        <w:jc w:val="left"/>
        <w:rPr>
          <w:rFonts w:asciiTheme="minorHAnsi" w:hAnsiTheme="minorHAnsi"/>
          <w:sz w:val="22"/>
        </w:rPr>
      </w:pPr>
    </w:p>
    <w:p w14:paraId="6819682B" w14:textId="77777777" w:rsidR="00FA0AF3" w:rsidRPr="005F5AFD" w:rsidRDefault="00FA0AF3" w:rsidP="00FA0AF3">
      <w:pPr>
        <w:rPr>
          <w:rFonts w:asciiTheme="minorHAnsi" w:hAnsiTheme="minorHAnsi"/>
          <w:b/>
          <w:sz w:val="22"/>
        </w:rPr>
      </w:pPr>
      <w:r w:rsidRPr="005F5AFD">
        <w:rPr>
          <w:rFonts w:asciiTheme="minorHAnsi" w:hAnsiTheme="minorHAnsi"/>
          <w:b/>
          <w:sz w:val="22"/>
        </w:rPr>
        <w:t>Book Chapters</w:t>
      </w:r>
    </w:p>
    <w:p w14:paraId="3C124CCC" w14:textId="77777777" w:rsidR="00104CDD" w:rsidRPr="008D795C" w:rsidRDefault="00104CDD" w:rsidP="00104CDD">
      <w:pPr>
        <w:numPr>
          <w:ilvl w:val="0"/>
          <w:numId w:val="2"/>
        </w:numPr>
        <w:tabs>
          <w:tab w:val="left" w:pos="567"/>
          <w:tab w:val="left" w:pos="3440"/>
        </w:tabs>
        <w:spacing w:before="240"/>
        <w:ind w:right="-205"/>
        <w:rPr>
          <w:rFonts w:asciiTheme="minorHAnsi" w:hAnsiTheme="minorHAnsi"/>
          <w:sz w:val="22"/>
        </w:rPr>
      </w:pPr>
      <w:r w:rsidRPr="008D795C">
        <w:rPr>
          <w:rFonts w:asciiTheme="minorHAnsi" w:hAnsiTheme="minorHAnsi"/>
          <w:b/>
          <w:sz w:val="22"/>
        </w:rPr>
        <w:t>Israel</w:t>
      </w:r>
      <w:r w:rsidRPr="008D795C">
        <w:rPr>
          <w:rFonts w:asciiTheme="minorHAnsi" w:hAnsiTheme="minorHAnsi"/>
          <w:sz w:val="22"/>
        </w:rPr>
        <w:t xml:space="preserve"> M </w:t>
      </w:r>
      <w:r>
        <w:rPr>
          <w:rFonts w:asciiTheme="minorHAnsi" w:hAnsiTheme="minorHAnsi"/>
          <w:sz w:val="22"/>
        </w:rPr>
        <w:t>&amp;</w:t>
      </w:r>
      <w:r w:rsidRPr="008D795C">
        <w:rPr>
          <w:rFonts w:asciiTheme="minorHAnsi" w:hAnsiTheme="minorHAnsi"/>
          <w:sz w:val="22"/>
        </w:rPr>
        <w:t xml:space="preserve"> </w:t>
      </w:r>
      <w:r w:rsidRPr="008D795C">
        <w:rPr>
          <w:rFonts w:asciiTheme="minorHAnsi" w:hAnsiTheme="minorHAnsi"/>
          <w:b/>
          <w:sz w:val="22"/>
        </w:rPr>
        <w:t>Bennett</w:t>
      </w:r>
      <w:r w:rsidRPr="008D795C">
        <w:rPr>
          <w:rFonts w:asciiTheme="minorHAnsi" w:hAnsiTheme="minorHAnsi"/>
          <w:sz w:val="22"/>
        </w:rPr>
        <w:t xml:space="preserve">, D (2018) National teaching awards and the pursuit of excellence. In </w:t>
      </w:r>
      <w:proofErr w:type="spellStart"/>
      <w:r w:rsidRPr="008D795C">
        <w:rPr>
          <w:rFonts w:asciiTheme="minorHAnsi" w:hAnsiTheme="minorHAnsi"/>
          <w:sz w:val="22"/>
        </w:rPr>
        <w:t>Broughan</w:t>
      </w:r>
      <w:proofErr w:type="spellEnd"/>
      <w:r w:rsidRPr="008D795C">
        <w:rPr>
          <w:rFonts w:asciiTheme="minorHAnsi" w:hAnsiTheme="minorHAnsi"/>
          <w:sz w:val="22"/>
        </w:rPr>
        <w:t xml:space="preserve">, C, </w:t>
      </w:r>
      <w:proofErr w:type="spellStart"/>
      <w:r w:rsidRPr="008D795C">
        <w:rPr>
          <w:rFonts w:asciiTheme="minorHAnsi" w:hAnsiTheme="minorHAnsi"/>
          <w:sz w:val="22"/>
        </w:rPr>
        <w:t>Steventon</w:t>
      </w:r>
      <w:proofErr w:type="spellEnd"/>
      <w:r w:rsidRPr="008D795C">
        <w:rPr>
          <w:rFonts w:asciiTheme="minorHAnsi" w:hAnsiTheme="minorHAnsi"/>
          <w:sz w:val="22"/>
        </w:rPr>
        <w:t xml:space="preserve">, G &amp; </w:t>
      </w:r>
      <w:proofErr w:type="spellStart"/>
      <w:r w:rsidRPr="008D795C">
        <w:rPr>
          <w:rFonts w:asciiTheme="minorHAnsi" w:hAnsiTheme="minorHAnsi"/>
          <w:sz w:val="22"/>
        </w:rPr>
        <w:t>Clouder</w:t>
      </w:r>
      <w:proofErr w:type="spellEnd"/>
      <w:r w:rsidRPr="008D795C">
        <w:rPr>
          <w:rFonts w:asciiTheme="minorHAnsi" w:hAnsiTheme="minorHAnsi"/>
          <w:sz w:val="22"/>
        </w:rPr>
        <w:t xml:space="preserve">, L (eds) </w:t>
      </w:r>
      <w:r w:rsidRPr="008D795C">
        <w:rPr>
          <w:rFonts w:asciiTheme="minorHAnsi" w:hAnsiTheme="minorHAnsi"/>
          <w:i/>
          <w:sz w:val="22"/>
        </w:rPr>
        <w:t>Global Perspectives on Teaching Excellence: A new era for Higher Education</w:t>
      </w:r>
      <w:r w:rsidRPr="008D795C">
        <w:rPr>
          <w:rFonts w:asciiTheme="minorHAnsi" w:hAnsiTheme="minorHAnsi"/>
          <w:sz w:val="22"/>
        </w:rPr>
        <w:t xml:space="preserve">. Abingdon: Routledge. </w:t>
      </w:r>
      <w:hyperlink r:id="rId17" w:history="1">
        <w:r w:rsidRPr="008D795C">
          <w:rPr>
            <w:rStyle w:val="Hyperlink"/>
            <w:rFonts w:asciiTheme="minorHAnsi" w:hAnsiTheme="minorHAnsi"/>
            <w:sz w:val="20"/>
          </w:rPr>
          <w:t>https://www.amazon.co.uk/Global-Perspectives-Teaching-Excellence-education/dp/0415793157</w:t>
        </w:r>
      </w:hyperlink>
    </w:p>
    <w:p w14:paraId="56FBC4C8" w14:textId="77777777" w:rsidR="00104CDD" w:rsidRPr="00104CDD" w:rsidRDefault="00104CDD" w:rsidP="00FA0AF3">
      <w:pPr>
        <w:pStyle w:val="insert"/>
        <w:numPr>
          <w:ilvl w:val="0"/>
          <w:numId w:val="2"/>
        </w:numPr>
        <w:tabs>
          <w:tab w:val="clear" w:pos="360"/>
          <w:tab w:val="left" w:pos="567"/>
        </w:tabs>
        <w:spacing w:before="120" w:after="120" w:line="240" w:lineRule="auto"/>
        <w:ind w:left="357" w:right="-204" w:hanging="357"/>
        <w:jc w:val="left"/>
        <w:rPr>
          <w:rFonts w:asciiTheme="minorHAnsi" w:hAnsiTheme="minorHAnsi" w:cs="Arial"/>
          <w:b/>
          <w:bCs/>
          <w:sz w:val="22"/>
        </w:rPr>
      </w:pPr>
      <w:r w:rsidRPr="007D3648">
        <w:rPr>
          <w:rFonts w:asciiTheme="minorHAnsi" w:hAnsiTheme="minorHAnsi"/>
          <w:b/>
          <w:sz w:val="22"/>
        </w:rPr>
        <w:t>Allen</w:t>
      </w:r>
      <w:r w:rsidRPr="007D3648">
        <w:rPr>
          <w:rFonts w:asciiTheme="minorHAnsi" w:hAnsiTheme="minorHAnsi"/>
          <w:sz w:val="22"/>
        </w:rPr>
        <w:t xml:space="preserve">, G </w:t>
      </w:r>
      <w:r w:rsidRPr="006E61DE">
        <w:rPr>
          <w:rFonts w:asciiTheme="minorHAnsi" w:hAnsiTheme="minorHAnsi"/>
          <w:sz w:val="22"/>
        </w:rPr>
        <w:t xml:space="preserve">&amp; </w:t>
      </w:r>
      <w:r w:rsidRPr="007D3648">
        <w:rPr>
          <w:rFonts w:asciiTheme="minorHAnsi" w:hAnsiTheme="minorHAnsi"/>
          <w:b/>
          <w:sz w:val="22"/>
        </w:rPr>
        <w:t>Israel</w:t>
      </w:r>
      <w:r w:rsidRPr="007D3648">
        <w:rPr>
          <w:rFonts w:asciiTheme="minorHAnsi" w:hAnsiTheme="minorHAnsi"/>
          <w:sz w:val="22"/>
        </w:rPr>
        <w:t>, M (201</w:t>
      </w:r>
      <w:r>
        <w:rPr>
          <w:rFonts w:asciiTheme="minorHAnsi" w:hAnsiTheme="minorHAnsi"/>
          <w:sz w:val="22"/>
        </w:rPr>
        <w:t>8</w:t>
      </w:r>
      <w:r w:rsidRPr="007D3648">
        <w:rPr>
          <w:rFonts w:asciiTheme="minorHAnsi" w:hAnsiTheme="minorHAnsi"/>
          <w:sz w:val="22"/>
        </w:rPr>
        <w:t xml:space="preserve">) Moving beyond Regulatory Compliance: Building Institutional Support for Ethical Reflection in Research. In </w:t>
      </w:r>
      <w:proofErr w:type="spellStart"/>
      <w:r w:rsidRPr="007D3648">
        <w:rPr>
          <w:rFonts w:asciiTheme="minorHAnsi" w:hAnsiTheme="minorHAnsi"/>
          <w:sz w:val="22"/>
        </w:rPr>
        <w:t>Iphofen</w:t>
      </w:r>
      <w:proofErr w:type="spellEnd"/>
      <w:r w:rsidRPr="007D3648">
        <w:rPr>
          <w:rFonts w:asciiTheme="minorHAnsi" w:hAnsiTheme="minorHAnsi"/>
          <w:sz w:val="22"/>
        </w:rPr>
        <w:t xml:space="preserve">, R </w:t>
      </w:r>
      <w:r>
        <w:rPr>
          <w:rFonts w:asciiTheme="minorHAnsi" w:hAnsiTheme="minorHAnsi"/>
          <w:sz w:val="22"/>
        </w:rPr>
        <w:t>&amp;</w:t>
      </w:r>
      <w:r w:rsidRPr="007D3648">
        <w:rPr>
          <w:rFonts w:asciiTheme="minorHAnsi" w:hAnsiTheme="minorHAnsi"/>
          <w:sz w:val="22"/>
        </w:rPr>
        <w:t xml:space="preserve"> </w:t>
      </w:r>
      <w:proofErr w:type="spellStart"/>
      <w:r w:rsidRPr="007D3648">
        <w:rPr>
          <w:rFonts w:asciiTheme="minorHAnsi" w:hAnsiTheme="minorHAnsi"/>
          <w:sz w:val="22"/>
        </w:rPr>
        <w:t>Tolich</w:t>
      </w:r>
      <w:proofErr w:type="spellEnd"/>
      <w:r w:rsidRPr="007D3648">
        <w:rPr>
          <w:rFonts w:asciiTheme="minorHAnsi" w:hAnsiTheme="minorHAnsi"/>
          <w:sz w:val="22"/>
        </w:rPr>
        <w:t xml:space="preserve">, M (eds) </w:t>
      </w:r>
      <w:r w:rsidRPr="00156F79">
        <w:rPr>
          <w:rFonts w:asciiTheme="minorHAnsi" w:hAnsiTheme="minorHAnsi"/>
          <w:i/>
          <w:sz w:val="22"/>
        </w:rPr>
        <w:t>The SAGE Handbook of Qualitative Research Ethics</w:t>
      </w:r>
      <w:r w:rsidRPr="007D3648">
        <w:rPr>
          <w:rFonts w:asciiTheme="minorHAnsi" w:hAnsiTheme="minorHAnsi"/>
          <w:sz w:val="22"/>
        </w:rPr>
        <w:t>. London: Sage.</w:t>
      </w:r>
      <w:r>
        <w:rPr>
          <w:rFonts w:asciiTheme="minorHAnsi" w:hAnsiTheme="minorHAnsi"/>
          <w:sz w:val="22"/>
        </w:rPr>
        <w:t xml:space="preserve"> pp.276-288. </w:t>
      </w:r>
    </w:p>
    <w:p w14:paraId="3E627977" w14:textId="57F46CB8" w:rsidR="00FA0AF3" w:rsidRPr="006E61DE" w:rsidRDefault="00FA0AF3" w:rsidP="00FA0AF3">
      <w:pPr>
        <w:pStyle w:val="insert"/>
        <w:numPr>
          <w:ilvl w:val="0"/>
          <w:numId w:val="2"/>
        </w:numPr>
        <w:tabs>
          <w:tab w:val="clear" w:pos="360"/>
          <w:tab w:val="left" w:pos="567"/>
        </w:tabs>
        <w:spacing w:before="120" w:after="120" w:line="240" w:lineRule="auto"/>
        <w:ind w:left="357" w:right="-204" w:hanging="357"/>
        <w:jc w:val="left"/>
        <w:rPr>
          <w:rStyle w:val="Strong"/>
          <w:rFonts w:asciiTheme="minorHAnsi" w:hAnsiTheme="minorHAnsi" w:cs="Arial"/>
          <w:sz w:val="22"/>
        </w:rPr>
      </w:pP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, M (2010) Teaching Awards in Australian Higher Education. In </w:t>
      </w:r>
      <w:proofErr w:type="spellStart"/>
      <w:r w:rsidRPr="006E61DE">
        <w:rPr>
          <w:rFonts w:asciiTheme="minorHAnsi" w:hAnsiTheme="minorHAnsi"/>
          <w:sz w:val="22"/>
        </w:rPr>
        <w:t>Tremp</w:t>
      </w:r>
      <w:proofErr w:type="spellEnd"/>
      <w:r w:rsidRPr="006E61DE">
        <w:rPr>
          <w:rFonts w:asciiTheme="minorHAnsi" w:hAnsiTheme="minorHAnsi"/>
          <w:sz w:val="22"/>
        </w:rPr>
        <w:t xml:space="preserve">, P (ed.) </w:t>
      </w:r>
      <w:proofErr w:type="spellStart"/>
      <w:r w:rsidRPr="006E61DE">
        <w:rPr>
          <w:rFonts w:asciiTheme="minorHAnsi" w:hAnsiTheme="minorHAnsi"/>
          <w:i/>
          <w:sz w:val="22"/>
        </w:rPr>
        <w:t>Lehrpreis</w:t>
      </w:r>
      <w:proofErr w:type="spellEnd"/>
      <w:r w:rsidRPr="006E61DE">
        <w:rPr>
          <w:rFonts w:asciiTheme="minorHAnsi" w:hAnsiTheme="minorHAnsi"/>
          <w:i/>
          <w:sz w:val="22"/>
        </w:rPr>
        <w:t xml:space="preserve"> an </w:t>
      </w:r>
      <w:proofErr w:type="spellStart"/>
      <w:r w:rsidRPr="006E61DE">
        <w:rPr>
          <w:rFonts w:asciiTheme="minorHAnsi" w:hAnsiTheme="minorHAnsi"/>
          <w:i/>
          <w:sz w:val="22"/>
        </w:rPr>
        <w:t>Hochschulen</w:t>
      </w:r>
      <w:proofErr w:type="spellEnd"/>
      <w:r w:rsidRPr="006E61DE">
        <w:rPr>
          <w:rFonts w:asciiTheme="minorHAnsi" w:hAnsiTheme="minorHAnsi"/>
          <w:sz w:val="22"/>
        </w:rPr>
        <w:t xml:space="preserve"> (</w:t>
      </w:r>
      <w:r w:rsidRPr="006E61DE">
        <w:rPr>
          <w:rFonts w:asciiTheme="minorHAnsi" w:hAnsiTheme="minorHAnsi"/>
          <w:i/>
          <w:sz w:val="22"/>
        </w:rPr>
        <w:t>Teaching Awards in Higher Education)</w:t>
      </w:r>
      <w:r w:rsidRPr="006E61DE">
        <w:rPr>
          <w:rFonts w:asciiTheme="minorHAnsi" w:hAnsiTheme="minorHAnsi"/>
          <w:sz w:val="22"/>
        </w:rPr>
        <w:t xml:space="preserve">. Germany: </w:t>
      </w:r>
      <w:proofErr w:type="spellStart"/>
      <w:r w:rsidRPr="006E61DE">
        <w:rPr>
          <w:rFonts w:asciiTheme="minorHAnsi" w:hAnsiTheme="minorHAnsi" w:cs="Cambria-Identity-H"/>
          <w:sz w:val="22"/>
          <w:lang w:eastAsia="en-AU"/>
        </w:rPr>
        <w:t>Waxmann</w:t>
      </w:r>
      <w:proofErr w:type="spellEnd"/>
      <w:r w:rsidRPr="006E61DE">
        <w:rPr>
          <w:rFonts w:asciiTheme="minorHAnsi" w:hAnsiTheme="minorHAnsi" w:cs="Cambria-Identity-H"/>
          <w:sz w:val="22"/>
          <w:lang w:eastAsia="en-AU"/>
        </w:rPr>
        <w:t xml:space="preserve">. </w:t>
      </w:r>
      <w:r>
        <w:rPr>
          <w:rFonts w:asciiTheme="minorHAnsi" w:hAnsiTheme="minorHAnsi" w:cs="Cambria-Identity-H"/>
          <w:sz w:val="22"/>
          <w:lang w:eastAsia="en-AU"/>
        </w:rPr>
        <w:t>pp</w:t>
      </w:r>
      <w:r w:rsidRPr="006E61DE">
        <w:rPr>
          <w:rFonts w:asciiTheme="minorHAnsi" w:hAnsiTheme="minorHAnsi"/>
          <w:sz w:val="22"/>
          <w:szCs w:val="24"/>
        </w:rPr>
        <w:t xml:space="preserve">159-170. </w:t>
      </w:r>
      <w:r w:rsidRPr="006E61DE">
        <w:rPr>
          <w:rFonts w:asciiTheme="minorHAnsi" w:hAnsiTheme="minorHAnsi" w:cs="Cambria-Identity-H"/>
          <w:sz w:val="22"/>
          <w:lang w:eastAsia="en-AU"/>
        </w:rPr>
        <w:t xml:space="preserve">ISBN </w:t>
      </w:r>
      <w:r w:rsidRPr="006E61DE">
        <w:rPr>
          <w:rFonts w:asciiTheme="minorHAnsi" w:hAnsiTheme="minorHAnsi"/>
          <w:sz w:val="22"/>
          <w:szCs w:val="24"/>
        </w:rPr>
        <w:t>978 3 8309 2304 6</w:t>
      </w:r>
    </w:p>
    <w:p w14:paraId="35E6BB0E" w14:textId="3ADE6E00" w:rsidR="00104CDD" w:rsidRPr="006E61DE" w:rsidRDefault="00104CDD" w:rsidP="00104CDD">
      <w:pPr>
        <w:pStyle w:val="insert"/>
        <w:numPr>
          <w:ilvl w:val="0"/>
          <w:numId w:val="2"/>
        </w:numPr>
        <w:tabs>
          <w:tab w:val="clear" w:pos="360"/>
          <w:tab w:val="left" w:pos="567"/>
        </w:tabs>
        <w:spacing w:after="120" w:line="240" w:lineRule="auto"/>
        <w:ind w:left="357" w:right="-204" w:hanging="357"/>
        <w:jc w:val="left"/>
        <w:rPr>
          <w:rFonts w:asciiTheme="minorHAnsi" w:hAnsiTheme="minorHAnsi"/>
          <w:sz w:val="22"/>
        </w:rPr>
      </w:pPr>
      <w:proofErr w:type="spellStart"/>
      <w:r w:rsidRPr="006E61DE">
        <w:rPr>
          <w:rFonts w:asciiTheme="minorHAnsi" w:hAnsiTheme="minorHAnsi"/>
          <w:b/>
          <w:sz w:val="22"/>
        </w:rPr>
        <w:t>Teh</w:t>
      </w:r>
      <w:proofErr w:type="spellEnd"/>
      <w:r w:rsidRPr="006E61DE">
        <w:rPr>
          <w:rFonts w:asciiTheme="minorHAnsi" w:hAnsiTheme="minorHAnsi"/>
          <w:sz w:val="22"/>
        </w:rPr>
        <w:t xml:space="preserve">, K &amp; </w:t>
      </w: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, M (2009) Managing Change: </w:t>
      </w:r>
      <w:proofErr w:type="gramStart"/>
      <w:r w:rsidRPr="006E61DE">
        <w:rPr>
          <w:rFonts w:asciiTheme="minorHAnsi" w:hAnsiTheme="minorHAnsi"/>
          <w:sz w:val="22"/>
        </w:rPr>
        <w:t>a</w:t>
      </w:r>
      <w:proofErr w:type="gramEnd"/>
      <w:r w:rsidRPr="006E61DE">
        <w:rPr>
          <w:rFonts w:asciiTheme="minorHAnsi" w:hAnsiTheme="minorHAnsi"/>
          <w:sz w:val="22"/>
        </w:rPr>
        <w:t xml:space="preserve"> Matter of Degree. In Todd, M &amp; Marsh, D (ed.) </w:t>
      </w:r>
      <w:r w:rsidRPr="006E61DE">
        <w:rPr>
          <w:rFonts w:asciiTheme="minorHAnsi" w:hAnsiTheme="minorHAnsi"/>
          <w:i/>
          <w:sz w:val="22"/>
        </w:rPr>
        <w:t>Managing Change in Learning and Teaching</w:t>
      </w:r>
      <w:r w:rsidRPr="006E61DE">
        <w:rPr>
          <w:rFonts w:asciiTheme="minorHAnsi" w:hAnsiTheme="minorHAnsi"/>
          <w:sz w:val="22"/>
        </w:rPr>
        <w:t xml:space="preserve">. Birmingham: </w:t>
      </w:r>
      <w:r w:rsidRPr="006E61DE">
        <w:rPr>
          <w:rFonts w:asciiTheme="minorHAnsi" w:hAnsiTheme="minorHAnsi" w:cs="Cambria-Identity-H"/>
          <w:sz w:val="22"/>
          <w:lang w:eastAsia="en-AU"/>
        </w:rPr>
        <w:t>C</w:t>
      </w:r>
      <w:r w:rsidRPr="006E61DE">
        <w:rPr>
          <w:rFonts w:asciiTheme="minorHAnsi" w:eastAsia="MS Gothic" w:hAnsiTheme="minorHAnsi" w:cs="MS Gothic"/>
          <w:sz w:val="22"/>
          <w:lang w:eastAsia="en-AU"/>
        </w:rPr>
        <w:t>-</w:t>
      </w:r>
      <w:r w:rsidRPr="006E61DE">
        <w:rPr>
          <w:rFonts w:asciiTheme="minorHAnsi" w:hAnsiTheme="minorHAnsi" w:cs="Cambria-Identity-H"/>
          <w:sz w:val="22"/>
          <w:lang w:eastAsia="en-AU"/>
        </w:rPr>
        <w:t xml:space="preserve">SAP. </w:t>
      </w:r>
      <w:r w:rsidRPr="006E61DE">
        <w:rPr>
          <w:rFonts w:asciiTheme="minorHAnsi" w:hAnsiTheme="minorHAnsi"/>
          <w:sz w:val="22"/>
        </w:rPr>
        <w:t>pp15-17.</w:t>
      </w:r>
      <w:r w:rsidRPr="006E61DE">
        <w:rPr>
          <w:rFonts w:asciiTheme="minorHAnsi" w:hAnsiTheme="minorHAnsi" w:cs="Cambria-Identity-H"/>
          <w:sz w:val="22"/>
          <w:lang w:eastAsia="en-AU"/>
        </w:rPr>
        <w:t xml:space="preserve"> ISBN 1 902 191 37 4. </w:t>
      </w:r>
    </w:p>
    <w:p w14:paraId="62DAAC89" w14:textId="77777777" w:rsidR="00FA0AF3" w:rsidRPr="006E61DE" w:rsidRDefault="00FA0AF3" w:rsidP="00FA0AF3">
      <w:pPr>
        <w:numPr>
          <w:ilvl w:val="0"/>
          <w:numId w:val="2"/>
        </w:numPr>
        <w:tabs>
          <w:tab w:val="clear" w:pos="360"/>
          <w:tab w:val="left" w:pos="567"/>
        </w:tabs>
        <w:spacing w:before="240"/>
        <w:ind w:right="-205"/>
        <w:rPr>
          <w:rFonts w:asciiTheme="minorHAnsi" w:hAnsiTheme="minorHAnsi"/>
          <w:sz w:val="22"/>
        </w:rPr>
      </w:pP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>, M (2000) ‘The Confessions of a Satanic, Neo-Nazi, Drug Lord Statistician’: Encouraging Criminal Justice Students to Read Media Representations of Official Statistics Critically. In Goodwin, GA &amp; Schwartz, MD (eds) ‘</w:t>
      </w:r>
      <w:r w:rsidRPr="006E61DE">
        <w:rPr>
          <w:rFonts w:asciiTheme="minorHAnsi" w:hAnsiTheme="minorHAnsi"/>
          <w:i/>
          <w:sz w:val="22"/>
        </w:rPr>
        <w:t>Professing’ Humanist Sociology</w:t>
      </w:r>
      <w:r w:rsidRPr="006E61DE">
        <w:rPr>
          <w:rFonts w:asciiTheme="minorHAnsi" w:hAnsiTheme="minorHAnsi"/>
          <w:sz w:val="22"/>
        </w:rPr>
        <w:t xml:space="preserve"> (4</w:t>
      </w:r>
      <w:r w:rsidRPr="006E61DE">
        <w:rPr>
          <w:rFonts w:asciiTheme="minorHAnsi" w:hAnsiTheme="minorHAnsi"/>
          <w:sz w:val="22"/>
          <w:vertAlign w:val="superscript"/>
        </w:rPr>
        <w:t>th</w:t>
      </w:r>
      <w:r w:rsidRPr="006E61DE">
        <w:rPr>
          <w:rFonts w:asciiTheme="minorHAnsi" w:hAnsiTheme="minorHAnsi"/>
          <w:sz w:val="22"/>
        </w:rPr>
        <w:t xml:space="preserve"> edition). Washington DC: American Sociological Association. pp113-116.</w:t>
      </w:r>
    </w:p>
    <w:p w14:paraId="7A19E998" w14:textId="77777777" w:rsidR="00FA0AF3" w:rsidRPr="006E61DE" w:rsidRDefault="00FA0AF3" w:rsidP="00FA0AF3">
      <w:pPr>
        <w:numPr>
          <w:ilvl w:val="0"/>
          <w:numId w:val="2"/>
        </w:numPr>
        <w:tabs>
          <w:tab w:val="clear" w:pos="360"/>
          <w:tab w:val="left" w:pos="567"/>
        </w:tabs>
        <w:spacing w:before="240"/>
        <w:ind w:right="-205"/>
        <w:rPr>
          <w:rFonts w:asciiTheme="minorHAnsi" w:hAnsiTheme="minorHAnsi"/>
          <w:sz w:val="22"/>
        </w:rPr>
      </w:pP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, M (1999) The Art of (Ab)using Textbooks. In Schwartz, MD &amp; </w:t>
      </w:r>
      <w:proofErr w:type="spellStart"/>
      <w:r w:rsidRPr="006E61DE">
        <w:rPr>
          <w:rFonts w:asciiTheme="minorHAnsi" w:hAnsiTheme="minorHAnsi"/>
          <w:sz w:val="22"/>
        </w:rPr>
        <w:t>Maume</w:t>
      </w:r>
      <w:proofErr w:type="spellEnd"/>
      <w:r w:rsidRPr="006E61DE">
        <w:rPr>
          <w:rFonts w:asciiTheme="minorHAnsi" w:hAnsiTheme="minorHAnsi"/>
          <w:sz w:val="22"/>
        </w:rPr>
        <w:t xml:space="preserve">, MO (eds) </w:t>
      </w:r>
      <w:r w:rsidRPr="006E61DE">
        <w:rPr>
          <w:rFonts w:asciiTheme="minorHAnsi" w:hAnsiTheme="minorHAnsi"/>
          <w:i/>
          <w:sz w:val="22"/>
        </w:rPr>
        <w:t>Teaching the Sociology of Deviance</w:t>
      </w:r>
      <w:r w:rsidRPr="006E61DE">
        <w:rPr>
          <w:rFonts w:asciiTheme="minorHAnsi" w:hAnsiTheme="minorHAnsi"/>
          <w:sz w:val="22"/>
        </w:rPr>
        <w:t xml:space="preserve">. Washington DC: American Sociological Association. pp20-23. </w:t>
      </w:r>
    </w:p>
    <w:p w14:paraId="4F2366A7" w14:textId="77777777" w:rsidR="00FA0AF3" w:rsidRPr="006E61DE" w:rsidRDefault="00FA0AF3" w:rsidP="00FA0AF3">
      <w:pPr>
        <w:numPr>
          <w:ilvl w:val="0"/>
          <w:numId w:val="2"/>
        </w:numPr>
        <w:tabs>
          <w:tab w:val="clear" w:pos="360"/>
          <w:tab w:val="left" w:pos="567"/>
        </w:tabs>
        <w:spacing w:before="240"/>
        <w:ind w:left="357" w:right="-204" w:hanging="357"/>
        <w:rPr>
          <w:rFonts w:asciiTheme="minorHAnsi" w:hAnsiTheme="minorHAnsi"/>
          <w:sz w:val="22"/>
        </w:rPr>
      </w:pP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, M (1999) Interview-based Assignments and the Sociology of Deviance. In Schwartz, MD &amp; </w:t>
      </w:r>
      <w:proofErr w:type="spellStart"/>
      <w:r w:rsidRPr="006E61DE">
        <w:rPr>
          <w:rFonts w:asciiTheme="minorHAnsi" w:hAnsiTheme="minorHAnsi"/>
          <w:sz w:val="22"/>
        </w:rPr>
        <w:t>Maume</w:t>
      </w:r>
      <w:proofErr w:type="spellEnd"/>
      <w:r w:rsidRPr="006E61DE">
        <w:rPr>
          <w:rFonts w:asciiTheme="minorHAnsi" w:hAnsiTheme="minorHAnsi"/>
          <w:sz w:val="22"/>
        </w:rPr>
        <w:t xml:space="preserve">, MO (eds) </w:t>
      </w:r>
      <w:r w:rsidRPr="006E61DE">
        <w:rPr>
          <w:rFonts w:asciiTheme="minorHAnsi" w:hAnsiTheme="minorHAnsi"/>
          <w:i/>
          <w:sz w:val="22"/>
        </w:rPr>
        <w:t>Teaching the Sociology of Deviance</w:t>
      </w:r>
      <w:r w:rsidRPr="006E61DE">
        <w:rPr>
          <w:rFonts w:asciiTheme="minorHAnsi" w:hAnsiTheme="minorHAnsi"/>
          <w:sz w:val="22"/>
        </w:rPr>
        <w:t xml:space="preserve">. Washington DC: American Sociological Association. pp81-83. </w:t>
      </w:r>
    </w:p>
    <w:p w14:paraId="1C25E704" w14:textId="77777777" w:rsidR="00FA0AF3" w:rsidRPr="006E61DE" w:rsidRDefault="00FA0AF3" w:rsidP="00FA0AF3">
      <w:pPr>
        <w:tabs>
          <w:tab w:val="left" w:pos="567"/>
          <w:tab w:val="left" w:pos="3440"/>
        </w:tabs>
        <w:spacing w:before="240"/>
        <w:ind w:right="-205"/>
        <w:rPr>
          <w:rFonts w:asciiTheme="minorHAnsi" w:hAnsiTheme="minorHAnsi"/>
          <w:b/>
          <w:sz w:val="22"/>
        </w:rPr>
      </w:pPr>
    </w:p>
    <w:p w14:paraId="751C4FD4" w14:textId="77777777" w:rsidR="00FA0AF3" w:rsidRPr="006E61DE" w:rsidRDefault="00FA0AF3" w:rsidP="00FA0AF3">
      <w:pPr>
        <w:pStyle w:val="Heading4"/>
        <w:numPr>
          <w:ilvl w:val="0"/>
          <w:numId w:val="0"/>
        </w:numPr>
        <w:tabs>
          <w:tab w:val="clear" w:pos="380"/>
          <w:tab w:val="left" w:pos="567"/>
        </w:tabs>
        <w:spacing w:after="120"/>
        <w:ind w:right="-204"/>
        <w:jc w:val="left"/>
        <w:rPr>
          <w:rFonts w:asciiTheme="minorHAnsi" w:hAnsiTheme="minorHAnsi"/>
          <w:sz w:val="22"/>
        </w:rPr>
      </w:pPr>
      <w:r w:rsidRPr="006E61DE">
        <w:rPr>
          <w:rFonts w:asciiTheme="minorHAnsi" w:hAnsiTheme="minorHAnsi"/>
          <w:sz w:val="22"/>
        </w:rPr>
        <w:t>Commissioned Papers and Reports</w:t>
      </w:r>
    </w:p>
    <w:p w14:paraId="11FA2764" w14:textId="77777777" w:rsidR="00104CDD" w:rsidRPr="006E61DE" w:rsidRDefault="00104CDD" w:rsidP="00104CDD">
      <w:pPr>
        <w:pStyle w:val="insert"/>
        <w:numPr>
          <w:ilvl w:val="0"/>
          <w:numId w:val="2"/>
        </w:numPr>
        <w:tabs>
          <w:tab w:val="left" w:pos="567"/>
        </w:tabs>
        <w:spacing w:after="120" w:line="240" w:lineRule="auto"/>
        <w:ind w:right="-204"/>
        <w:jc w:val="left"/>
        <w:rPr>
          <w:rFonts w:asciiTheme="minorHAnsi" w:hAnsiTheme="minorHAnsi"/>
          <w:sz w:val="22"/>
          <w:szCs w:val="22"/>
        </w:rPr>
      </w:pPr>
      <w:bookmarkStart w:id="1" w:name="_Hlk520912943"/>
      <w:r w:rsidRPr="006E61DE">
        <w:rPr>
          <w:rFonts w:asciiTheme="minorHAnsi" w:hAnsiTheme="minorHAnsi"/>
          <w:b/>
          <w:sz w:val="22"/>
        </w:rPr>
        <w:t>Heath</w:t>
      </w:r>
      <w:r w:rsidRPr="006E61DE">
        <w:rPr>
          <w:rFonts w:asciiTheme="minorHAnsi" w:hAnsiTheme="minorHAnsi"/>
          <w:sz w:val="22"/>
        </w:rPr>
        <w:t xml:space="preserve">, M, </w:t>
      </w:r>
      <w:r w:rsidRPr="006E61DE">
        <w:rPr>
          <w:rFonts w:asciiTheme="minorHAnsi" w:hAnsiTheme="minorHAnsi"/>
          <w:b/>
          <w:sz w:val="22"/>
        </w:rPr>
        <w:t>Hewitt</w:t>
      </w:r>
      <w:r w:rsidRPr="006E61DE">
        <w:rPr>
          <w:rFonts w:asciiTheme="minorHAnsi" w:hAnsiTheme="minorHAnsi"/>
          <w:sz w:val="22"/>
        </w:rPr>
        <w:t xml:space="preserve">, A, </w:t>
      </w:r>
      <w:r w:rsidRPr="00CF7CB0">
        <w:rPr>
          <w:rFonts w:asciiTheme="minorHAnsi" w:hAnsiTheme="minorHAnsi"/>
          <w:b/>
          <w:sz w:val="22"/>
        </w:rPr>
        <w:t>Galloway</w:t>
      </w:r>
      <w:r>
        <w:rPr>
          <w:rFonts w:asciiTheme="minorHAnsi" w:hAnsiTheme="minorHAnsi"/>
          <w:sz w:val="22"/>
        </w:rPr>
        <w:t xml:space="preserve">, K, </w:t>
      </w: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>, M</w:t>
      </w:r>
      <w:r>
        <w:rPr>
          <w:rFonts w:asciiTheme="minorHAnsi" w:hAnsiTheme="minorHAnsi"/>
          <w:sz w:val="22"/>
        </w:rPr>
        <w:t>,</w:t>
      </w:r>
      <w:r w:rsidRPr="006E61DE">
        <w:rPr>
          <w:rFonts w:asciiTheme="minorHAnsi" w:hAnsiTheme="minorHAnsi"/>
          <w:sz w:val="22"/>
        </w:rPr>
        <w:t xml:space="preserve"> </w:t>
      </w:r>
      <w:r w:rsidRPr="004F663B">
        <w:rPr>
          <w:rFonts w:asciiTheme="minorHAnsi" w:hAnsiTheme="minorHAnsi"/>
          <w:b/>
          <w:sz w:val="22"/>
        </w:rPr>
        <w:t>Nettle</w:t>
      </w:r>
      <w:r>
        <w:rPr>
          <w:rFonts w:asciiTheme="minorHAnsi" w:hAnsiTheme="minorHAnsi"/>
          <w:sz w:val="22"/>
        </w:rPr>
        <w:t xml:space="preserve">, C, </w:t>
      </w:r>
      <w:r w:rsidRPr="006E61DE">
        <w:rPr>
          <w:rFonts w:asciiTheme="minorHAnsi" w:hAnsiTheme="minorHAnsi"/>
          <w:b/>
          <w:sz w:val="22"/>
        </w:rPr>
        <w:t>Skead</w:t>
      </w:r>
      <w:r w:rsidRPr="006E61DE">
        <w:rPr>
          <w:rFonts w:asciiTheme="minorHAnsi" w:hAnsiTheme="minorHAnsi"/>
          <w:sz w:val="22"/>
          <w:szCs w:val="22"/>
        </w:rPr>
        <w:t>, N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61DE">
        <w:rPr>
          <w:rFonts w:asciiTheme="minorHAnsi" w:hAnsiTheme="minorHAnsi"/>
          <w:sz w:val="22"/>
        </w:rPr>
        <w:t xml:space="preserve">&amp; </w:t>
      </w:r>
      <w:r w:rsidRPr="00CF7CB0">
        <w:rPr>
          <w:rFonts w:asciiTheme="minorHAnsi" w:hAnsiTheme="minorHAnsi"/>
          <w:b/>
          <w:sz w:val="22"/>
        </w:rPr>
        <w:t>Steel</w:t>
      </w:r>
      <w:r>
        <w:rPr>
          <w:rFonts w:asciiTheme="minorHAnsi" w:hAnsiTheme="minorHAnsi"/>
          <w:sz w:val="22"/>
        </w:rPr>
        <w:t>, A</w:t>
      </w:r>
      <w:r w:rsidRPr="006E61DE">
        <w:rPr>
          <w:rFonts w:asciiTheme="minorHAnsi" w:hAnsiTheme="minorHAnsi"/>
          <w:sz w:val="22"/>
          <w:szCs w:val="22"/>
        </w:rPr>
        <w:t xml:space="preserve"> (201</w:t>
      </w:r>
      <w:r>
        <w:rPr>
          <w:rFonts w:asciiTheme="minorHAnsi" w:hAnsiTheme="minorHAnsi"/>
          <w:sz w:val="22"/>
          <w:szCs w:val="22"/>
        </w:rPr>
        <w:t>8</w:t>
      </w:r>
      <w:r w:rsidRPr="006E61DE">
        <w:rPr>
          <w:rFonts w:asciiTheme="minorHAnsi" w:hAnsiTheme="minorHAnsi"/>
          <w:sz w:val="22"/>
          <w:szCs w:val="22"/>
        </w:rPr>
        <w:t xml:space="preserve">) </w:t>
      </w:r>
      <w:r w:rsidRPr="006E61DE">
        <w:rPr>
          <w:rFonts w:asciiTheme="minorHAnsi" w:hAnsiTheme="minorHAnsi"/>
          <w:i/>
          <w:sz w:val="22"/>
          <w:szCs w:val="22"/>
        </w:rPr>
        <w:t>‘Smart Casual’: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E61DE">
        <w:rPr>
          <w:rFonts w:asciiTheme="minorHAnsi" w:hAnsiTheme="minorHAnsi"/>
          <w:i/>
          <w:sz w:val="22"/>
          <w:szCs w:val="22"/>
        </w:rPr>
        <w:t>towards excellence in sessional teaching in law</w:t>
      </w:r>
      <w:r w:rsidRPr="006E61DE">
        <w:rPr>
          <w:rFonts w:asciiTheme="minorHAnsi" w:hAnsiTheme="minorHAnsi"/>
          <w:sz w:val="22"/>
          <w:szCs w:val="22"/>
        </w:rPr>
        <w:t xml:space="preserve">. Final Report. </w:t>
      </w:r>
      <w:r>
        <w:rPr>
          <w:rFonts w:asciiTheme="minorHAnsi" w:hAnsiTheme="minorHAnsi"/>
          <w:sz w:val="22"/>
          <w:szCs w:val="22"/>
        </w:rPr>
        <w:t>Canberra</w:t>
      </w:r>
      <w:r w:rsidRPr="006E61DE">
        <w:rPr>
          <w:rFonts w:asciiTheme="minorHAnsi" w:hAnsiTheme="minorHAnsi"/>
          <w:sz w:val="22"/>
          <w:szCs w:val="22"/>
        </w:rPr>
        <w:t xml:space="preserve">: Australian Government </w:t>
      </w:r>
      <w:r w:rsidRPr="00457B04">
        <w:rPr>
          <w:rFonts w:asciiTheme="minorHAnsi" w:hAnsiTheme="minorHAnsi"/>
          <w:sz w:val="22"/>
          <w:szCs w:val="22"/>
        </w:rPr>
        <w:t>Department of Education and Training</w:t>
      </w:r>
      <w:r w:rsidRPr="006E61DE">
        <w:rPr>
          <w:rFonts w:asciiTheme="minorHAnsi" w:hAnsiTheme="minorHAnsi"/>
          <w:sz w:val="22"/>
          <w:szCs w:val="22"/>
        </w:rPr>
        <w:t xml:space="preserve">. </w:t>
      </w:r>
      <w:hyperlink r:id="rId18" w:history="1">
        <w:r w:rsidRPr="004F63EA">
          <w:rPr>
            <w:rStyle w:val="Hyperlink"/>
            <w:rFonts w:asciiTheme="minorHAnsi" w:hAnsiTheme="minorHAnsi"/>
          </w:rPr>
          <w:t>https://ltr.edu.au/resources/ID14-4320_Nettle_Flinders_ReportSmartCasual.pdf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bookmarkEnd w:id="1"/>
    <w:p w14:paraId="5A2F6DE0" w14:textId="77777777" w:rsidR="00FA0AF3" w:rsidRPr="000B10FF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after="120" w:line="240" w:lineRule="auto"/>
        <w:ind w:right="-204"/>
        <w:jc w:val="left"/>
        <w:rPr>
          <w:rFonts w:asciiTheme="minorHAnsi" w:hAnsiTheme="minorHAnsi"/>
          <w:sz w:val="22"/>
          <w:szCs w:val="22"/>
        </w:rPr>
      </w:pPr>
      <w:r w:rsidRPr="000B10FF">
        <w:rPr>
          <w:rFonts w:asciiTheme="minorHAnsi" w:hAnsiTheme="minorHAnsi"/>
          <w:b/>
          <w:sz w:val="22"/>
          <w:szCs w:val="22"/>
        </w:rPr>
        <w:t>Allen</w:t>
      </w:r>
      <w:r w:rsidRPr="000B10FF">
        <w:rPr>
          <w:rFonts w:asciiTheme="minorHAnsi" w:hAnsiTheme="minorHAnsi"/>
          <w:sz w:val="22"/>
          <w:szCs w:val="22"/>
        </w:rPr>
        <w:t xml:space="preserve">, G, </w:t>
      </w:r>
      <w:r w:rsidRPr="000B10FF">
        <w:rPr>
          <w:rFonts w:asciiTheme="minorHAnsi" w:hAnsiTheme="minorHAnsi"/>
          <w:b/>
          <w:sz w:val="22"/>
          <w:szCs w:val="22"/>
        </w:rPr>
        <w:t>Israel</w:t>
      </w:r>
      <w:r w:rsidRPr="000B10FF">
        <w:rPr>
          <w:rFonts w:asciiTheme="minorHAnsi" w:hAnsiTheme="minorHAnsi"/>
          <w:sz w:val="22"/>
          <w:szCs w:val="22"/>
        </w:rPr>
        <w:t xml:space="preserve">, M and </w:t>
      </w:r>
      <w:r w:rsidRPr="000B10FF">
        <w:rPr>
          <w:rFonts w:asciiTheme="minorHAnsi" w:hAnsiTheme="minorHAnsi"/>
          <w:b/>
          <w:sz w:val="22"/>
          <w:szCs w:val="22"/>
        </w:rPr>
        <w:t>Thomson</w:t>
      </w:r>
      <w:r w:rsidRPr="000B10FF">
        <w:rPr>
          <w:rFonts w:asciiTheme="minorHAnsi" w:hAnsiTheme="minorHAnsi"/>
          <w:sz w:val="22"/>
          <w:szCs w:val="22"/>
        </w:rPr>
        <w:t xml:space="preserve">, C (2016) </w:t>
      </w:r>
      <w:r w:rsidRPr="000B10FF">
        <w:rPr>
          <w:rFonts w:asciiTheme="minorHAnsi" w:hAnsiTheme="minorHAnsi"/>
          <w:i/>
          <w:sz w:val="22"/>
          <w:szCs w:val="22"/>
        </w:rPr>
        <w:t xml:space="preserve">Office for Learning and </w:t>
      </w:r>
      <w:r w:rsidRPr="000B10FF">
        <w:rPr>
          <w:rFonts w:asciiTheme="minorHAnsi" w:hAnsiTheme="minorHAnsi"/>
          <w:bCs/>
          <w:i/>
          <w:sz w:val="22"/>
          <w:szCs w:val="22"/>
        </w:rPr>
        <w:t xml:space="preserve">Teaching: </w:t>
      </w:r>
      <w:r w:rsidRPr="000B10FF">
        <w:rPr>
          <w:rFonts w:asciiTheme="minorHAnsi" w:hAnsiTheme="minorHAnsi"/>
          <w:i/>
          <w:sz w:val="22"/>
          <w:szCs w:val="22"/>
        </w:rPr>
        <w:t>S</w:t>
      </w:r>
      <w:r w:rsidRPr="000B10FF">
        <w:rPr>
          <w:rFonts w:asciiTheme="minorHAnsi" w:hAnsiTheme="minorHAnsi"/>
          <w:bCs/>
          <w:i/>
          <w:sz w:val="22"/>
          <w:szCs w:val="22"/>
        </w:rPr>
        <w:t>cholarship of Teaching and Learning Human Research Ethics Resource Manual</w:t>
      </w:r>
      <w:r w:rsidRPr="000B10FF">
        <w:rPr>
          <w:rFonts w:asciiTheme="minorHAnsi" w:hAnsiTheme="minorHAnsi"/>
          <w:i/>
          <w:sz w:val="22"/>
          <w:szCs w:val="22"/>
        </w:rPr>
        <w:t xml:space="preserve">. </w:t>
      </w:r>
      <w:hyperlink r:id="rId19" w:history="1">
        <w:r w:rsidRPr="005F5AFD">
          <w:rPr>
            <w:rStyle w:val="Hyperlink"/>
            <w:rFonts w:asciiTheme="minorHAnsi" w:hAnsiTheme="minorHAnsi"/>
          </w:rPr>
          <w:t>http://www.ahrecs.com/resources/scholarship-teaching-learning-human-research-ethics-resource-manual-sotl-manual</w:t>
        </w:r>
      </w:hyperlink>
      <w:r w:rsidRPr="000B10FF">
        <w:rPr>
          <w:rFonts w:asciiTheme="minorHAnsi" w:hAnsiTheme="minorHAnsi"/>
          <w:sz w:val="22"/>
          <w:szCs w:val="22"/>
        </w:rPr>
        <w:t xml:space="preserve"> </w:t>
      </w:r>
    </w:p>
    <w:p w14:paraId="68971FEF" w14:textId="77777777" w:rsidR="00FA0AF3" w:rsidRPr="006E61DE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after="120" w:line="240" w:lineRule="auto"/>
        <w:ind w:right="-204"/>
        <w:jc w:val="left"/>
        <w:rPr>
          <w:rFonts w:asciiTheme="minorHAnsi" w:hAnsiTheme="minorHAnsi"/>
          <w:sz w:val="22"/>
          <w:szCs w:val="22"/>
        </w:rPr>
      </w:pPr>
      <w:r w:rsidRPr="006E61DE">
        <w:rPr>
          <w:rFonts w:asciiTheme="minorHAnsi" w:hAnsiTheme="minorHAnsi"/>
          <w:b/>
          <w:sz w:val="22"/>
          <w:szCs w:val="22"/>
        </w:rPr>
        <w:t>Allen</w:t>
      </w:r>
      <w:r w:rsidRPr="006E61DE">
        <w:rPr>
          <w:rFonts w:asciiTheme="minorHAnsi" w:hAnsiTheme="minorHAnsi"/>
          <w:sz w:val="22"/>
          <w:szCs w:val="22"/>
        </w:rPr>
        <w:t xml:space="preserve">, G, </w:t>
      </w:r>
      <w:r w:rsidRPr="006E61DE">
        <w:rPr>
          <w:rFonts w:asciiTheme="minorHAnsi" w:hAnsiTheme="minorHAnsi"/>
          <w:b/>
          <w:sz w:val="22"/>
          <w:szCs w:val="22"/>
        </w:rPr>
        <w:t>Israel</w:t>
      </w:r>
      <w:r w:rsidRPr="006E61DE">
        <w:rPr>
          <w:rFonts w:asciiTheme="minorHAnsi" w:hAnsiTheme="minorHAnsi"/>
          <w:sz w:val="22"/>
          <w:szCs w:val="22"/>
        </w:rPr>
        <w:t xml:space="preserve">, M and </w:t>
      </w:r>
      <w:r w:rsidRPr="006E61DE">
        <w:rPr>
          <w:rFonts w:asciiTheme="minorHAnsi" w:hAnsiTheme="minorHAnsi"/>
          <w:b/>
          <w:sz w:val="22"/>
          <w:szCs w:val="22"/>
        </w:rPr>
        <w:t>Thomson</w:t>
      </w:r>
      <w:r w:rsidRPr="006E61DE">
        <w:rPr>
          <w:rFonts w:asciiTheme="minorHAnsi" w:hAnsiTheme="minorHAnsi"/>
          <w:sz w:val="22"/>
          <w:szCs w:val="22"/>
        </w:rPr>
        <w:t xml:space="preserve">, C (2015) </w:t>
      </w:r>
      <w:r w:rsidRPr="006E61DE">
        <w:rPr>
          <w:rFonts w:asciiTheme="minorHAnsi" w:hAnsiTheme="minorHAnsi"/>
          <w:i/>
          <w:sz w:val="22"/>
          <w:szCs w:val="22"/>
        </w:rPr>
        <w:t>Office for Learning and Teaching: Research Ethics Report</w:t>
      </w:r>
      <w:r w:rsidRPr="006E61DE">
        <w:rPr>
          <w:rFonts w:asciiTheme="minorHAnsi" w:hAnsiTheme="minorHAnsi"/>
          <w:sz w:val="22"/>
          <w:szCs w:val="22"/>
        </w:rPr>
        <w:t xml:space="preserve">. </w:t>
      </w:r>
      <w:hyperlink r:id="rId20" w:tgtFrame="_blank" w:history="1">
        <w:r w:rsidRPr="005F5AFD">
          <w:rPr>
            <w:rStyle w:val="Hyperlink"/>
            <w:rFonts w:asciiTheme="minorHAnsi" w:hAnsiTheme="minorHAnsi"/>
          </w:rPr>
          <w:t>http://www.olt.gov.au/system/files/olt_report_ethics_2015.pdf</w:t>
        </w:r>
      </w:hyperlink>
      <w:r w:rsidRPr="006E61DE">
        <w:rPr>
          <w:rFonts w:asciiTheme="minorHAnsi" w:hAnsiTheme="minorHAnsi"/>
          <w:sz w:val="22"/>
          <w:szCs w:val="22"/>
        </w:rPr>
        <w:t xml:space="preserve"> </w:t>
      </w:r>
    </w:p>
    <w:p w14:paraId="08B113CE" w14:textId="77777777" w:rsidR="00FA0AF3" w:rsidRPr="006E61DE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after="120" w:line="240" w:lineRule="auto"/>
        <w:ind w:right="-204"/>
        <w:jc w:val="left"/>
        <w:rPr>
          <w:rFonts w:asciiTheme="minorHAnsi" w:hAnsiTheme="minorHAnsi"/>
          <w:sz w:val="22"/>
          <w:szCs w:val="22"/>
        </w:rPr>
      </w:pPr>
      <w:r w:rsidRPr="006E61DE">
        <w:rPr>
          <w:rFonts w:asciiTheme="minorHAnsi" w:hAnsiTheme="minorHAnsi"/>
          <w:b/>
          <w:sz w:val="22"/>
        </w:rPr>
        <w:t>Hewitt</w:t>
      </w:r>
      <w:r w:rsidRPr="006E61DE">
        <w:rPr>
          <w:rFonts w:asciiTheme="minorHAnsi" w:hAnsiTheme="minorHAnsi"/>
          <w:sz w:val="22"/>
        </w:rPr>
        <w:t xml:space="preserve">, A, </w:t>
      </w:r>
      <w:r w:rsidRPr="006E61DE">
        <w:rPr>
          <w:rFonts w:asciiTheme="minorHAnsi" w:hAnsiTheme="minorHAnsi"/>
          <w:b/>
          <w:sz w:val="22"/>
        </w:rPr>
        <w:t>Heath</w:t>
      </w:r>
      <w:r w:rsidRPr="006E61DE">
        <w:rPr>
          <w:rFonts w:asciiTheme="minorHAnsi" w:hAnsiTheme="minorHAnsi"/>
          <w:sz w:val="22"/>
        </w:rPr>
        <w:t xml:space="preserve">, M, </w:t>
      </w: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, M &amp; </w:t>
      </w:r>
      <w:r w:rsidRPr="006E61DE">
        <w:rPr>
          <w:rFonts w:asciiTheme="minorHAnsi" w:hAnsiTheme="minorHAnsi"/>
          <w:b/>
          <w:sz w:val="22"/>
        </w:rPr>
        <w:t>Skead</w:t>
      </w:r>
      <w:r w:rsidRPr="006E61DE">
        <w:rPr>
          <w:rFonts w:asciiTheme="minorHAnsi" w:hAnsiTheme="minorHAnsi"/>
          <w:sz w:val="22"/>
          <w:szCs w:val="22"/>
        </w:rPr>
        <w:t xml:space="preserve">, N (2014) </w:t>
      </w:r>
      <w:r w:rsidRPr="006E61DE">
        <w:rPr>
          <w:rFonts w:asciiTheme="minorHAnsi" w:hAnsiTheme="minorHAnsi"/>
          <w:i/>
          <w:sz w:val="22"/>
          <w:szCs w:val="22"/>
        </w:rPr>
        <w:t>‘Smart Casual’:  towards excellence in sessional teaching in law</w:t>
      </w:r>
      <w:r w:rsidRPr="006E61DE">
        <w:rPr>
          <w:rFonts w:asciiTheme="minorHAnsi" w:hAnsiTheme="minorHAnsi"/>
          <w:sz w:val="22"/>
          <w:szCs w:val="22"/>
        </w:rPr>
        <w:t xml:space="preserve">. Final Report. Sydney: Australian Government Office for Learning and Teaching. </w:t>
      </w:r>
      <w:hyperlink r:id="rId21" w:history="1">
        <w:r w:rsidRPr="006E61DE">
          <w:rPr>
            <w:rStyle w:val="Hyperlink"/>
            <w:rFonts w:asciiTheme="minorHAnsi" w:hAnsiTheme="minorHAnsi"/>
          </w:rPr>
          <w:t>http://www.olt.gov.au/project-smart-casual-towards-excellence-sessional-teaching-law-2013</w:t>
        </w:r>
      </w:hyperlink>
      <w:r w:rsidRPr="006E61DE">
        <w:t xml:space="preserve"> </w:t>
      </w:r>
    </w:p>
    <w:p w14:paraId="0C51829B" w14:textId="77777777" w:rsidR="00FA0AF3" w:rsidRPr="006E61DE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after="120" w:line="240" w:lineRule="auto"/>
        <w:ind w:right="-204"/>
        <w:jc w:val="left"/>
        <w:rPr>
          <w:rFonts w:asciiTheme="minorHAnsi" w:hAnsiTheme="minorHAnsi"/>
          <w:sz w:val="22"/>
          <w:szCs w:val="22"/>
        </w:rPr>
      </w:pPr>
      <w:r w:rsidRPr="006E61DE">
        <w:rPr>
          <w:rFonts w:asciiTheme="minorHAnsi" w:hAnsiTheme="minorHAnsi"/>
          <w:b/>
          <w:sz w:val="22"/>
          <w:szCs w:val="22"/>
        </w:rPr>
        <w:t>Wood</w:t>
      </w:r>
      <w:r>
        <w:rPr>
          <w:rFonts w:asciiTheme="minorHAnsi" w:hAnsiTheme="minorHAnsi"/>
          <w:sz w:val="22"/>
          <w:szCs w:val="22"/>
        </w:rPr>
        <w:t>, D</w:t>
      </w:r>
      <w:r w:rsidRPr="006E61D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Bloustien</w:t>
      </w:r>
      <w:proofErr w:type="spellEnd"/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G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</w:t>
      </w:r>
      <w:proofErr w:type="spellStart"/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Kerin</w:t>
      </w:r>
      <w:proofErr w:type="spellEnd"/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R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</w:t>
      </w:r>
      <w:proofErr w:type="spellStart"/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Kurzel</w:t>
      </w:r>
      <w:proofErr w:type="spellEnd"/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F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</w:t>
      </w:r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Seifert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J., </w:t>
      </w:r>
      <w:proofErr w:type="spellStart"/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Spawton</w:t>
      </w:r>
      <w:proofErr w:type="spellEnd"/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T., </w:t>
      </w:r>
      <w:proofErr w:type="spellStart"/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Wache</w:t>
      </w:r>
      <w:proofErr w:type="spellEnd"/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D., </w:t>
      </w:r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Green</w:t>
      </w:r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L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</w:t>
      </w:r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Snyder</w:t>
      </w:r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I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</w:t>
      </w:r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Henderson</w:t>
      </w:r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M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</w:t>
      </w:r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Sim</w:t>
      </w:r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J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</w:t>
      </w:r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Marsh</w:t>
      </w:r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J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</w:t>
      </w:r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Maxwell</w:t>
      </w:r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I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</w:t>
      </w:r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Israel</w:t>
      </w:r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M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, </w:t>
      </w:r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Butler</w:t>
      </w:r>
      <w:r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>, D</w:t>
      </w:r>
      <w:r w:rsidRPr="006E61DE">
        <w:rPr>
          <w:rFonts w:asciiTheme="minorHAnsi" w:hAnsiTheme="minorHAnsi"/>
          <w:color w:val="2F2D1A"/>
          <w:sz w:val="22"/>
          <w:szCs w:val="22"/>
          <w:shd w:val="clear" w:color="auto" w:fill="FFFFFF"/>
        </w:rPr>
        <w:t xml:space="preserve"> and </w:t>
      </w:r>
      <w:proofErr w:type="spellStart"/>
      <w:r w:rsidRPr="006E61DE">
        <w:rPr>
          <w:rFonts w:asciiTheme="minorHAnsi" w:hAnsiTheme="minorHAnsi"/>
          <w:b/>
          <w:color w:val="2F2D1A"/>
          <w:sz w:val="22"/>
          <w:szCs w:val="22"/>
          <w:shd w:val="clear" w:color="auto" w:fill="FFFFFF"/>
        </w:rPr>
        <w:t>Stupans</w:t>
      </w:r>
      <w:proofErr w:type="spellEnd"/>
      <w:r>
        <w:rPr>
          <w:rFonts w:asciiTheme="minorHAnsi" w:hAnsiTheme="minorHAnsi"/>
          <w:sz w:val="22"/>
          <w:szCs w:val="22"/>
        </w:rPr>
        <w:t>, I</w:t>
      </w:r>
      <w:r w:rsidRPr="006E61DE">
        <w:rPr>
          <w:rFonts w:asciiTheme="minorHAnsi" w:hAnsiTheme="minorHAnsi"/>
          <w:sz w:val="22"/>
          <w:szCs w:val="22"/>
        </w:rPr>
        <w:t xml:space="preserve"> (2013) </w:t>
      </w:r>
      <w:r w:rsidRPr="006E61DE">
        <w:rPr>
          <w:rFonts w:asciiTheme="minorHAnsi" w:hAnsiTheme="minorHAnsi" w:cs="Arial"/>
          <w:i/>
          <w:color w:val="000000"/>
          <w:sz w:val="22"/>
          <w:szCs w:val="22"/>
        </w:rPr>
        <w:t xml:space="preserve">Facilitating </w:t>
      </w:r>
      <w:r w:rsidRPr="006E61DE"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>Flexible, Enquiry-Based Experiential Learning through an Accessible, Three-Dimensional Virtual Learning Environment (3DVLE)</w:t>
      </w:r>
      <w:r w:rsidRPr="006E61DE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6E61DE">
        <w:rPr>
          <w:rFonts w:asciiTheme="minorHAnsi" w:hAnsiTheme="minorHAnsi"/>
          <w:sz w:val="22"/>
          <w:szCs w:val="22"/>
        </w:rPr>
        <w:t xml:space="preserve">Sydney: Australian Government Office for Learning and Teaching. ISBN: 978-1-74361-210-1 </w:t>
      </w:r>
      <w:hyperlink r:id="rId22" w:history="1">
        <w:r w:rsidRPr="005F5AFD">
          <w:rPr>
            <w:rStyle w:val="Hyperlink"/>
            <w:rFonts w:asciiTheme="minorHAnsi" w:hAnsiTheme="minorHAnsi"/>
          </w:rPr>
          <w:t>http://www.olt.gov.au/resource-library?text=enquiry-based%20learning</w:t>
        </w:r>
      </w:hyperlink>
      <w:r w:rsidRPr="006E61DE">
        <w:rPr>
          <w:rFonts w:asciiTheme="minorHAnsi" w:hAnsiTheme="minorHAnsi"/>
          <w:sz w:val="22"/>
          <w:szCs w:val="22"/>
        </w:rPr>
        <w:t xml:space="preserve"> </w:t>
      </w:r>
    </w:p>
    <w:p w14:paraId="2E0C33B3" w14:textId="77777777" w:rsidR="00FA0AF3" w:rsidRPr="006E61DE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after="120" w:line="240" w:lineRule="auto"/>
        <w:ind w:right="-204"/>
        <w:jc w:val="left"/>
        <w:rPr>
          <w:rFonts w:asciiTheme="minorHAnsi" w:hAnsiTheme="minorHAnsi"/>
          <w:sz w:val="22"/>
        </w:rPr>
      </w:pP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 M (2011) </w:t>
      </w:r>
      <w:r w:rsidRPr="006E61DE">
        <w:rPr>
          <w:rFonts w:asciiTheme="minorHAnsi" w:hAnsiTheme="minorHAnsi"/>
          <w:i/>
          <w:sz w:val="22"/>
        </w:rPr>
        <w:t>The Key to the Door? Teaching Awards in Australian Higher Education</w:t>
      </w:r>
      <w:r w:rsidRPr="006E61DE">
        <w:rPr>
          <w:rFonts w:asciiTheme="minorHAnsi" w:hAnsiTheme="minorHAnsi"/>
          <w:sz w:val="22"/>
        </w:rPr>
        <w:t>. Sydney: Australian Learning and Teaching Council. 79 pages. ISBN 978-1-921856-85-3</w:t>
      </w:r>
      <w:r w:rsidRPr="006E61DE">
        <w:rPr>
          <w:sz w:val="22"/>
          <w:szCs w:val="22"/>
        </w:rPr>
        <w:t xml:space="preserve"> </w:t>
      </w:r>
      <w:hyperlink r:id="rId23" w:history="1">
        <w:r w:rsidRPr="00045EC0">
          <w:rPr>
            <w:rStyle w:val="Hyperlink"/>
            <w:rFonts w:asciiTheme="minorHAnsi" w:hAnsiTheme="minorHAnsi" w:cstheme="minorHAnsi"/>
          </w:rPr>
          <w:t>http://www.olt.gov.au/system/files/resources/Israel%2C%20M%20UWA%20Fellowship%20report%202011_0.pdf</w:t>
        </w:r>
      </w:hyperlink>
      <w:r w:rsidRPr="006E61DE">
        <w:rPr>
          <w:sz w:val="24"/>
        </w:rPr>
        <w:t xml:space="preserve"> </w:t>
      </w:r>
    </w:p>
    <w:p w14:paraId="25282721" w14:textId="77777777" w:rsidR="00FA0AF3" w:rsidRPr="006E61DE" w:rsidRDefault="00FA0AF3" w:rsidP="00FA0AF3">
      <w:pPr>
        <w:pStyle w:val="insert"/>
        <w:numPr>
          <w:ilvl w:val="0"/>
          <w:numId w:val="2"/>
        </w:numPr>
        <w:tabs>
          <w:tab w:val="left" w:pos="567"/>
        </w:tabs>
        <w:spacing w:after="120" w:line="240" w:lineRule="auto"/>
        <w:ind w:right="-204"/>
        <w:jc w:val="left"/>
        <w:rPr>
          <w:rFonts w:asciiTheme="minorHAnsi" w:hAnsiTheme="minorHAnsi"/>
          <w:sz w:val="22"/>
        </w:rPr>
      </w:pPr>
      <w:proofErr w:type="spellStart"/>
      <w:r w:rsidRPr="006E61DE">
        <w:rPr>
          <w:rFonts w:asciiTheme="minorHAnsi" w:hAnsiTheme="minorHAnsi"/>
          <w:b/>
          <w:sz w:val="22"/>
        </w:rPr>
        <w:t>Kift</w:t>
      </w:r>
      <w:proofErr w:type="spellEnd"/>
      <w:r w:rsidRPr="006E61DE">
        <w:rPr>
          <w:rFonts w:asciiTheme="minorHAnsi" w:hAnsiTheme="minorHAnsi"/>
          <w:sz w:val="22"/>
        </w:rPr>
        <w:t xml:space="preserve">, S, </w:t>
      </w:r>
      <w:r w:rsidRPr="006E61DE">
        <w:rPr>
          <w:rFonts w:asciiTheme="minorHAnsi" w:hAnsiTheme="minorHAnsi"/>
          <w:b/>
          <w:sz w:val="22"/>
        </w:rPr>
        <w:t>Israel</w:t>
      </w:r>
      <w:r w:rsidRPr="006E61DE">
        <w:rPr>
          <w:rFonts w:asciiTheme="minorHAnsi" w:hAnsiTheme="minorHAnsi"/>
          <w:sz w:val="22"/>
        </w:rPr>
        <w:t xml:space="preserve">, M &amp; </w:t>
      </w:r>
      <w:r w:rsidRPr="006E61DE">
        <w:rPr>
          <w:rFonts w:asciiTheme="minorHAnsi" w:hAnsiTheme="minorHAnsi"/>
          <w:b/>
          <w:sz w:val="22"/>
        </w:rPr>
        <w:t>Field</w:t>
      </w:r>
      <w:r w:rsidRPr="006E61DE">
        <w:rPr>
          <w:rFonts w:asciiTheme="minorHAnsi" w:hAnsiTheme="minorHAnsi"/>
          <w:sz w:val="22"/>
        </w:rPr>
        <w:t xml:space="preserve">, R (2010) </w:t>
      </w:r>
      <w:r w:rsidRPr="006E61DE">
        <w:rPr>
          <w:rFonts w:asciiTheme="minorHAnsi" w:hAnsiTheme="minorHAnsi"/>
          <w:i/>
          <w:sz w:val="22"/>
        </w:rPr>
        <w:t>Learning and Teaching Academic Standards Statement for Bachelor of Laws</w:t>
      </w:r>
      <w:r w:rsidRPr="006E61DE">
        <w:rPr>
          <w:rFonts w:asciiTheme="minorHAnsi" w:hAnsiTheme="minorHAnsi"/>
          <w:sz w:val="22"/>
        </w:rPr>
        <w:t xml:space="preserve">. Sydney: Australian Learning and Teaching Council. 61 pages. ISBN 978-1-921856-33-4 </w:t>
      </w:r>
      <w:r w:rsidRPr="005F5AFD">
        <w:rPr>
          <w:rStyle w:val="Hyperlink"/>
          <w:rFonts w:asciiTheme="minorHAnsi" w:hAnsiTheme="minorHAnsi"/>
        </w:rPr>
        <w:t>http://www.olt.gov.au/system/files/resources/altc_standards.LAW_.110211_rv2.pdf</w:t>
      </w:r>
    </w:p>
    <w:p w14:paraId="1071F34F" w14:textId="77777777" w:rsidR="00FA0AF3" w:rsidRPr="006E61DE" w:rsidRDefault="00FA0AF3" w:rsidP="00FA0AF3">
      <w:pPr>
        <w:pStyle w:val="Heading4"/>
        <w:numPr>
          <w:ilvl w:val="0"/>
          <w:numId w:val="0"/>
        </w:numPr>
        <w:tabs>
          <w:tab w:val="clear" w:pos="380"/>
          <w:tab w:val="left" w:pos="567"/>
        </w:tabs>
        <w:jc w:val="left"/>
        <w:rPr>
          <w:rFonts w:asciiTheme="minorHAnsi" w:hAnsiTheme="minorHAnsi"/>
          <w:sz w:val="22"/>
        </w:rPr>
      </w:pPr>
    </w:p>
    <w:sectPr w:rsidR="00FA0AF3" w:rsidRPr="006E61DE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A5C1" w14:textId="77777777" w:rsidR="00D15D6A" w:rsidRDefault="00D15D6A" w:rsidP="00FA0AF3">
      <w:r>
        <w:separator/>
      </w:r>
    </w:p>
  </w:endnote>
  <w:endnote w:type="continuationSeparator" w:id="0">
    <w:p w14:paraId="23872605" w14:textId="77777777" w:rsidR="00D15D6A" w:rsidRDefault="00D15D6A" w:rsidP="00FA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9E5D" w14:textId="77777777" w:rsidR="00495C07" w:rsidRPr="00CD7BAA" w:rsidRDefault="00D15D6A">
    <w:pPr>
      <w:pStyle w:val="Footer1"/>
      <w:tabs>
        <w:tab w:val="center" w:pos="4240"/>
      </w:tabs>
      <w:rPr>
        <w:rFonts w:ascii="Palatino" w:hAnsi="Palatino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27C1" w14:textId="77777777" w:rsidR="00D15D6A" w:rsidRDefault="00D15D6A" w:rsidP="00FA0AF3">
      <w:r>
        <w:separator/>
      </w:r>
    </w:p>
  </w:footnote>
  <w:footnote w:type="continuationSeparator" w:id="0">
    <w:p w14:paraId="4B12FCFE" w14:textId="77777777" w:rsidR="00D15D6A" w:rsidRDefault="00D15D6A" w:rsidP="00FA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408A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pacing w:val="-20"/>
        <w:kern w:val="22"/>
      </w:rPr>
    </w:lvl>
  </w:abstractNum>
  <w:abstractNum w:abstractNumId="2" w15:restartNumberingAfterBreak="0">
    <w:nsid w:val="00D81195"/>
    <w:multiLevelType w:val="hybridMultilevel"/>
    <w:tmpl w:val="47121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F4BAB"/>
    <w:multiLevelType w:val="hybridMultilevel"/>
    <w:tmpl w:val="44C234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0DC"/>
    <w:multiLevelType w:val="hybridMultilevel"/>
    <w:tmpl w:val="DA127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85EC6"/>
    <w:multiLevelType w:val="hybridMultilevel"/>
    <w:tmpl w:val="187A8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75B2"/>
    <w:multiLevelType w:val="hybridMultilevel"/>
    <w:tmpl w:val="058E6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E5C49"/>
    <w:multiLevelType w:val="hybridMultilevel"/>
    <w:tmpl w:val="6C1A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4C12"/>
    <w:multiLevelType w:val="hybridMultilevel"/>
    <w:tmpl w:val="345AE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262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A165475"/>
    <w:multiLevelType w:val="hybridMultilevel"/>
    <w:tmpl w:val="C9D0D156"/>
    <w:lvl w:ilvl="0" w:tplc="F80C9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4A90"/>
    <w:multiLevelType w:val="hybridMultilevel"/>
    <w:tmpl w:val="86EA4BBC"/>
    <w:lvl w:ilvl="0" w:tplc="0D48C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0"/>
        <w:kern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477E"/>
    <w:multiLevelType w:val="hybridMultilevel"/>
    <w:tmpl w:val="97AAC8C0"/>
    <w:lvl w:ilvl="0" w:tplc="DE5E79AE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  <w:kern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45F0E"/>
    <w:multiLevelType w:val="hybridMultilevel"/>
    <w:tmpl w:val="333E51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44DE"/>
    <w:multiLevelType w:val="hybridMultilevel"/>
    <w:tmpl w:val="8AEADE3E"/>
    <w:lvl w:ilvl="0" w:tplc="4F56FC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4D91"/>
    <w:multiLevelType w:val="hybridMultilevel"/>
    <w:tmpl w:val="F956ED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B3454D"/>
    <w:multiLevelType w:val="hybridMultilevel"/>
    <w:tmpl w:val="A8CAC2E4"/>
    <w:lvl w:ilvl="0" w:tplc="F80C9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69C4"/>
    <w:multiLevelType w:val="hybridMultilevel"/>
    <w:tmpl w:val="A4B68C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E19DF"/>
    <w:multiLevelType w:val="hybridMultilevel"/>
    <w:tmpl w:val="74185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AF5314"/>
    <w:multiLevelType w:val="multilevel"/>
    <w:tmpl w:val="C73A8346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5"/>
        </w:tabs>
        <w:ind w:left="2655" w:hanging="1800"/>
      </w:pPr>
      <w:rPr>
        <w:rFonts w:hint="default"/>
      </w:rPr>
    </w:lvl>
  </w:abstractNum>
  <w:abstractNum w:abstractNumId="20" w15:restartNumberingAfterBreak="0">
    <w:nsid w:val="5F7319E7"/>
    <w:multiLevelType w:val="hybridMultilevel"/>
    <w:tmpl w:val="D9BEFB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362B62"/>
    <w:multiLevelType w:val="hybridMultilevel"/>
    <w:tmpl w:val="25964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16D32"/>
    <w:multiLevelType w:val="hybridMultilevel"/>
    <w:tmpl w:val="6C16018E"/>
    <w:lvl w:ilvl="0" w:tplc="25467B9E">
      <w:start w:val="9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pacing w:val="-20"/>
        <w:kern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1301F"/>
    <w:multiLevelType w:val="hybridMultilevel"/>
    <w:tmpl w:val="84EA75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2C66DC"/>
    <w:multiLevelType w:val="hybridMultilevel"/>
    <w:tmpl w:val="DE2A8EDE"/>
    <w:lvl w:ilvl="0" w:tplc="FE605DB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  <w:kern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63E46"/>
    <w:multiLevelType w:val="hybridMultilevel"/>
    <w:tmpl w:val="A31A9078"/>
    <w:lvl w:ilvl="0" w:tplc="F80C9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B3C2D"/>
    <w:multiLevelType w:val="hybridMultilevel"/>
    <w:tmpl w:val="F5AEB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F61AD9"/>
    <w:multiLevelType w:val="hybridMultilevel"/>
    <w:tmpl w:val="333E51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F3664"/>
    <w:multiLevelType w:val="hybridMultilevel"/>
    <w:tmpl w:val="8F204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5"/>
  </w:num>
  <w:num w:numId="5">
    <w:abstractNumId w:val="16"/>
  </w:num>
  <w:num w:numId="6">
    <w:abstractNumId w:val="10"/>
  </w:num>
  <w:num w:numId="7">
    <w:abstractNumId w:val="26"/>
  </w:num>
  <w:num w:numId="8">
    <w:abstractNumId w:val="18"/>
  </w:num>
  <w:num w:numId="9">
    <w:abstractNumId w:val="8"/>
  </w:num>
  <w:num w:numId="10">
    <w:abstractNumId w:val="20"/>
  </w:num>
  <w:num w:numId="11">
    <w:abstractNumId w:val="17"/>
  </w:num>
  <w:num w:numId="12">
    <w:abstractNumId w:val="23"/>
  </w:num>
  <w:num w:numId="13">
    <w:abstractNumId w:val="1"/>
    <w:lvlOverride w:ilvl="0">
      <w:startOverride w:val="1"/>
    </w:lvlOverride>
  </w:num>
  <w:num w:numId="14">
    <w:abstractNumId w:val="13"/>
  </w:num>
  <w:num w:numId="15">
    <w:abstractNumId w:val="4"/>
  </w:num>
  <w:num w:numId="16">
    <w:abstractNumId w:val="27"/>
  </w:num>
  <w:num w:numId="17">
    <w:abstractNumId w:val="3"/>
  </w:num>
  <w:num w:numId="18">
    <w:abstractNumId w:val="19"/>
  </w:num>
  <w:num w:numId="19">
    <w:abstractNumId w:val="15"/>
  </w:num>
  <w:num w:numId="20">
    <w:abstractNumId w:val="11"/>
  </w:num>
  <w:num w:numId="21">
    <w:abstractNumId w:val="14"/>
  </w:num>
  <w:num w:numId="22">
    <w:abstractNumId w:val="21"/>
  </w:num>
  <w:num w:numId="23">
    <w:abstractNumId w:val="2"/>
  </w:num>
  <w:num w:numId="24">
    <w:abstractNumId w:val="28"/>
  </w:num>
  <w:num w:numId="25">
    <w:abstractNumId w:val="6"/>
  </w:num>
  <w:num w:numId="26">
    <w:abstractNumId w:val="24"/>
  </w:num>
  <w:num w:numId="27">
    <w:abstractNumId w:val="12"/>
  </w:num>
  <w:num w:numId="28">
    <w:abstractNumId w:val="22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F3"/>
    <w:rsid w:val="00104CDD"/>
    <w:rsid w:val="0024490C"/>
    <w:rsid w:val="005B7E01"/>
    <w:rsid w:val="006220AF"/>
    <w:rsid w:val="00C01F1A"/>
    <w:rsid w:val="00D15D6A"/>
    <w:rsid w:val="00D72871"/>
    <w:rsid w:val="00F869E9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C94D"/>
  <w15:chartTrackingRefBased/>
  <w15:docId w15:val="{3A652AED-375E-44E7-8A3C-E98E5049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F3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A0AF3"/>
    <w:pPr>
      <w:numPr>
        <w:numId w:val="3"/>
      </w:numPr>
      <w:tabs>
        <w:tab w:val="left" w:pos="420"/>
      </w:tabs>
      <w:spacing w:before="240"/>
      <w:ind w:right="160"/>
      <w:outlineLvl w:val="0"/>
    </w:pPr>
    <w:rPr>
      <w:rFonts w:ascii="Palatino" w:hAnsi="Palatino"/>
      <w:b/>
      <w:smallCaps/>
      <w:sz w:val="36"/>
    </w:rPr>
  </w:style>
  <w:style w:type="paragraph" w:styleId="Heading2">
    <w:name w:val="heading 2"/>
    <w:basedOn w:val="Normal"/>
    <w:next w:val="Normal"/>
    <w:link w:val="Heading2Char"/>
    <w:qFormat/>
    <w:rsid w:val="00FA0AF3"/>
    <w:pPr>
      <w:keepNext/>
      <w:numPr>
        <w:ilvl w:val="1"/>
        <w:numId w:val="3"/>
      </w:numPr>
      <w:tabs>
        <w:tab w:val="left" w:pos="380"/>
      </w:tabs>
      <w:spacing w:before="240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FA0AF3"/>
    <w:pPr>
      <w:keepNext/>
      <w:numPr>
        <w:ilvl w:val="2"/>
        <w:numId w:val="3"/>
      </w:numPr>
      <w:tabs>
        <w:tab w:val="left" w:pos="380"/>
      </w:tabs>
      <w:spacing w:before="240"/>
      <w:ind w:right="-205"/>
      <w:outlineLvl w:val="2"/>
    </w:pPr>
    <w:rPr>
      <w:rFonts w:ascii="Palatino" w:hAnsi="Palatino"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FA0AF3"/>
    <w:pPr>
      <w:keepNext/>
      <w:numPr>
        <w:ilvl w:val="3"/>
        <w:numId w:val="3"/>
      </w:numPr>
      <w:tabs>
        <w:tab w:val="left" w:pos="380"/>
        <w:tab w:val="left" w:pos="3440"/>
      </w:tabs>
      <w:spacing w:before="240"/>
      <w:ind w:right="-205"/>
      <w:jc w:val="both"/>
      <w:outlineLvl w:val="3"/>
    </w:pPr>
    <w:rPr>
      <w:rFonts w:ascii="Palatino" w:hAnsi="Palatino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FA0AF3"/>
    <w:pPr>
      <w:keepNext/>
      <w:numPr>
        <w:ilvl w:val="4"/>
        <w:numId w:val="3"/>
      </w:numPr>
      <w:ind w:right="1691"/>
      <w:jc w:val="center"/>
      <w:outlineLvl w:val="4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AF3"/>
    <w:rPr>
      <w:rFonts w:ascii="Palatino" w:eastAsia="Times New Roman" w:hAnsi="Palatino" w:cs="Times New Roman"/>
      <w:b/>
      <w:smallCaps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FA0AF3"/>
    <w:rPr>
      <w:rFonts w:ascii="Palatino" w:eastAsia="Times New Roman" w:hAnsi="Palatino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A0AF3"/>
    <w:rPr>
      <w:rFonts w:ascii="Palatino" w:eastAsia="Times New Roman" w:hAnsi="Palatino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A0AF3"/>
    <w:rPr>
      <w:rFonts w:ascii="Palatino" w:eastAsia="Times New Roman" w:hAnsi="Palatino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A0AF3"/>
    <w:rPr>
      <w:rFonts w:ascii="Times New Roman" w:eastAsia="Times New Roman" w:hAnsi="Times New Roman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FA0AF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0AF3"/>
    <w:rPr>
      <w:rFonts w:ascii="Times" w:eastAsia="Times New Roman" w:hAnsi="Times" w:cs="Times New Roman"/>
      <w:sz w:val="20"/>
      <w:szCs w:val="20"/>
    </w:rPr>
  </w:style>
  <w:style w:type="paragraph" w:customStyle="1" w:styleId="Heading11">
    <w:name w:val="Heading 11"/>
    <w:basedOn w:val="Normal"/>
    <w:next w:val="Normal"/>
    <w:rsid w:val="00FA0AF3"/>
    <w:pPr>
      <w:tabs>
        <w:tab w:val="left" w:pos="420"/>
      </w:tabs>
      <w:spacing w:before="240"/>
      <w:ind w:right="160"/>
    </w:pPr>
    <w:rPr>
      <w:rFonts w:ascii="Palatino" w:hAnsi="Palatino"/>
      <w:b/>
      <w:smallCaps/>
      <w:sz w:val="36"/>
    </w:rPr>
  </w:style>
  <w:style w:type="paragraph" w:customStyle="1" w:styleId="Heading21">
    <w:name w:val="Heading 21"/>
    <w:basedOn w:val="Normal"/>
    <w:next w:val="Normal"/>
    <w:rsid w:val="00FA0AF3"/>
    <w:pPr>
      <w:pBdr>
        <w:top w:val="single" w:sz="6" w:space="0" w:color="auto" w:shadow="1"/>
        <w:bottom w:val="single" w:sz="6" w:space="0" w:color="auto" w:shadow="1"/>
      </w:pBdr>
      <w:spacing w:line="360" w:lineRule="atLeast"/>
      <w:jc w:val="both"/>
    </w:pPr>
    <w:rPr>
      <w:rFonts w:ascii="New York" w:hAnsi="New York"/>
      <w:b/>
      <w:sz w:val="36"/>
    </w:rPr>
  </w:style>
  <w:style w:type="paragraph" w:customStyle="1" w:styleId="Footer1">
    <w:name w:val="Footer1"/>
    <w:basedOn w:val="Normal"/>
    <w:rsid w:val="00FA0AF3"/>
    <w:pPr>
      <w:tabs>
        <w:tab w:val="center" w:pos="4320"/>
        <w:tab w:val="right" w:pos="8640"/>
      </w:tabs>
    </w:pPr>
  </w:style>
  <w:style w:type="paragraph" w:customStyle="1" w:styleId="Header1">
    <w:name w:val="Header1"/>
    <w:basedOn w:val="Normal"/>
    <w:rsid w:val="00FA0AF3"/>
    <w:pPr>
      <w:tabs>
        <w:tab w:val="center" w:pos="4320"/>
        <w:tab w:val="right" w:pos="8640"/>
      </w:tabs>
    </w:pPr>
  </w:style>
  <w:style w:type="paragraph" w:customStyle="1" w:styleId="FootnoteText1">
    <w:name w:val="Footnote Text1"/>
    <w:basedOn w:val="Normal"/>
    <w:rsid w:val="00FA0AF3"/>
    <w:rPr>
      <w:sz w:val="20"/>
    </w:rPr>
  </w:style>
  <w:style w:type="paragraph" w:customStyle="1" w:styleId="doctorate">
    <w:name w:val="doctorate"/>
    <w:basedOn w:val="Normal"/>
    <w:rsid w:val="00FA0AF3"/>
    <w:pPr>
      <w:spacing w:line="360" w:lineRule="atLeast"/>
      <w:ind w:right="18"/>
      <w:jc w:val="both"/>
    </w:pPr>
  </w:style>
  <w:style w:type="paragraph" w:customStyle="1" w:styleId="unitheading">
    <w:name w:val="unit heading"/>
    <w:basedOn w:val="Normal"/>
    <w:next w:val="Normal"/>
    <w:rsid w:val="00FA0AF3"/>
    <w:pPr>
      <w:spacing w:line="360" w:lineRule="atLeast"/>
      <w:ind w:right="-22"/>
      <w:jc w:val="both"/>
    </w:pPr>
    <w:rPr>
      <w:b/>
      <w:strike/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extract">
    <w:name w:val="extract"/>
    <w:basedOn w:val="Normal"/>
    <w:rsid w:val="00FA0AF3"/>
    <w:pPr>
      <w:spacing w:line="360" w:lineRule="atLeast"/>
      <w:ind w:right="-102"/>
      <w:jc w:val="both"/>
    </w:pPr>
    <w:rPr>
      <w:rFonts w:ascii="New York" w:hAnsi="New York"/>
    </w:rPr>
  </w:style>
  <w:style w:type="paragraph" w:customStyle="1" w:styleId="insert">
    <w:name w:val="insert"/>
    <w:basedOn w:val="Normal"/>
    <w:rsid w:val="00FA0AF3"/>
    <w:pPr>
      <w:tabs>
        <w:tab w:val="left" w:pos="380"/>
      </w:tabs>
      <w:spacing w:line="360" w:lineRule="atLeast"/>
      <w:ind w:left="360" w:right="-220" w:hanging="360"/>
      <w:jc w:val="both"/>
    </w:pPr>
    <w:rPr>
      <w:rFonts w:ascii="Palatino" w:hAnsi="Palatino"/>
      <w:sz w:val="20"/>
    </w:rPr>
  </w:style>
  <w:style w:type="paragraph" w:customStyle="1" w:styleId="H1">
    <w:name w:val="H1"/>
    <w:basedOn w:val="Normal"/>
    <w:rsid w:val="00FA0AF3"/>
    <w:pPr>
      <w:tabs>
        <w:tab w:val="left" w:pos="1720"/>
      </w:tabs>
      <w:spacing w:line="260" w:lineRule="exact"/>
      <w:ind w:left="3360" w:hanging="3340"/>
    </w:pPr>
    <w:rPr>
      <w:rFonts w:ascii="New York" w:hAnsi="New York"/>
      <w:b/>
      <w:sz w:val="22"/>
    </w:rPr>
  </w:style>
  <w:style w:type="paragraph" w:customStyle="1" w:styleId="Topheading">
    <w:name w:val="Top heading"/>
    <w:basedOn w:val="Normal"/>
    <w:rsid w:val="00FA0AF3"/>
    <w:pPr>
      <w:tabs>
        <w:tab w:val="center" w:pos="3420"/>
      </w:tabs>
      <w:ind w:left="20"/>
      <w:jc w:val="both"/>
    </w:pPr>
    <w:rPr>
      <w:rFonts w:ascii="New York" w:hAnsi="New York"/>
      <w:b/>
      <w:sz w:val="22"/>
    </w:rPr>
  </w:style>
  <w:style w:type="paragraph" w:customStyle="1" w:styleId="style1">
    <w:name w:val="style 1"/>
    <w:basedOn w:val="Normal"/>
    <w:rsid w:val="00FA0AF3"/>
    <w:pPr>
      <w:spacing w:line="360" w:lineRule="atLeast"/>
      <w:jc w:val="both"/>
    </w:pPr>
    <w:rPr>
      <w:rFonts w:ascii="Palatino" w:hAnsi="Palatino"/>
      <w:sz w:val="24"/>
    </w:rPr>
  </w:style>
  <w:style w:type="paragraph" w:customStyle="1" w:styleId="Quote1">
    <w:name w:val="Quote1"/>
    <w:basedOn w:val="doctorate"/>
    <w:rsid w:val="00FA0AF3"/>
    <w:pPr>
      <w:spacing w:line="240" w:lineRule="auto"/>
      <w:ind w:right="-22"/>
    </w:pPr>
    <w:rPr>
      <w:i/>
    </w:rPr>
  </w:style>
  <w:style w:type="paragraph" w:styleId="BlockText">
    <w:name w:val="Block Text"/>
    <w:basedOn w:val="Normal"/>
    <w:rsid w:val="00FA0AF3"/>
    <w:pPr>
      <w:tabs>
        <w:tab w:val="left" w:pos="360"/>
        <w:tab w:val="left" w:pos="3440"/>
      </w:tabs>
      <w:spacing w:before="240"/>
      <w:ind w:left="360" w:right="-76" w:hanging="360"/>
      <w:jc w:val="both"/>
    </w:pPr>
    <w:rPr>
      <w:rFonts w:ascii="Palatino" w:hAnsi="Palatino"/>
      <w:sz w:val="20"/>
    </w:rPr>
  </w:style>
  <w:style w:type="character" w:styleId="Hyperlink">
    <w:name w:val="Hyperlink"/>
    <w:basedOn w:val="DefaultParagraphFont"/>
    <w:uiPriority w:val="99"/>
    <w:rsid w:val="00FA0AF3"/>
    <w:rPr>
      <w:color w:val="0000FF"/>
      <w:u w:val="single"/>
    </w:rPr>
  </w:style>
  <w:style w:type="character" w:styleId="FollowedHyperlink">
    <w:name w:val="FollowedHyperlink"/>
    <w:basedOn w:val="DefaultParagraphFont"/>
    <w:rsid w:val="00FA0AF3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FA0AF3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basedOn w:val="DefaultParagraphFont"/>
    <w:link w:val="DocumentMap"/>
    <w:semiHidden/>
    <w:rsid w:val="00FA0AF3"/>
    <w:rPr>
      <w:rFonts w:ascii="Geneva" w:eastAsia="Times New Roman" w:hAnsi="Geneva" w:cs="Times New Roman"/>
      <w:sz w:val="28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FA0AF3"/>
    <w:pPr>
      <w:tabs>
        <w:tab w:val="center" w:pos="4153"/>
        <w:tab w:val="right" w:pos="8306"/>
      </w:tabs>
    </w:pPr>
    <w:rPr>
      <w:rFonts w:ascii="Palatino" w:hAnsi="Palatino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FA0AF3"/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bodytext">
    <w:name w:val="bodytext"/>
    <w:basedOn w:val="DefaultParagraphFont"/>
    <w:rsid w:val="00FA0AF3"/>
  </w:style>
  <w:style w:type="paragraph" w:styleId="NormalWeb">
    <w:name w:val="Normal (Web)"/>
    <w:basedOn w:val="Normal"/>
    <w:uiPriority w:val="99"/>
    <w:rsid w:val="00FA0A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pheader">
    <w:name w:val="pheader"/>
    <w:basedOn w:val="DefaultParagraphFont"/>
    <w:rsid w:val="00FA0AF3"/>
  </w:style>
  <w:style w:type="paragraph" w:customStyle="1" w:styleId="HTMLBody">
    <w:name w:val="HTML Body"/>
    <w:rsid w:val="00FA0AF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character" w:customStyle="1" w:styleId="prodgeneral1">
    <w:name w:val="prodgeneral1"/>
    <w:basedOn w:val="DefaultParagraphFont"/>
    <w:rsid w:val="00FA0AF3"/>
    <w:rPr>
      <w:rFonts w:ascii="Verdana" w:hAnsi="Verdana" w:hint="default"/>
      <w:b w:val="0"/>
      <w:bCs w:val="0"/>
      <w:caps w:val="0"/>
      <w:color w:val="000000"/>
      <w:spacing w:val="0"/>
      <w:sz w:val="16"/>
      <w:szCs w:val="16"/>
    </w:rPr>
  </w:style>
  <w:style w:type="paragraph" w:styleId="Footer">
    <w:name w:val="footer"/>
    <w:basedOn w:val="Normal"/>
    <w:link w:val="FooterChar"/>
    <w:rsid w:val="00FA0A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0AF3"/>
    <w:rPr>
      <w:rFonts w:ascii="Times" w:eastAsia="Times New Roman" w:hAnsi="Times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FA0AF3"/>
    <w:rPr>
      <w:b/>
      <w:bCs/>
    </w:rPr>
  </w:style>
  <w:style w:type="paragraph" w:styleId="BalloonText">
    <w:name w:val="Balloon Text"/>
    <w:basedOn w:val="Normal"/>
    <w:link w:val="BalloonTextChar"/>
    <w:semiHidden/>
    <w:rsid w:val="00FA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0AF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A0AF3"/>
    <w:rPr>
      <w:i/>
      <w:iCs/>
    </w:rPr>
  </w:style>
  <w:style w:type="paragraph" w:customStyle="1" w:styleId="Default">
    <w:name w:val="Default"/>
    <w:rsid w:val="00FA0A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A0AF3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A0AF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A0AF3"/>
  </w:style>
  <w:style w:type="paragraph" w:styleId="BodyText0">
    <w:name w:val="Body Text"/>
    <w:basedOn w:val="Normal"/>
    <w:link w:val="BodyTextChar"/>
    <w:rsid w:val="00FA0AF3"/>
    <w:pPr>
      <w:pBdr>
        <w:bottom w:val="single" w:sz="4" w:space="1" w:color="auto"/>
      </w:pBdr>
      <w:jc w:val="both"/>
    </w:pPr>
    <w:rPr>
      <w:rFonts w:ascii="Lucida Sans Unicode" w:hAnsi="Lucida Sans Unicode"/>
      <w:spacing w:val="-10"/>
      <w:sz w:val="20"/>
    </w:rPr>
  </w:style>
  <w:style w:type="character" w:customStyle="1" w:styleId="BodyTextChar">
    <w:name w:val="Body Text Char"/>
    <w:basedOn w:val="DefaultParagraphFont"/>
    <w:link w:val="BodyText0"/>
    <w:rsid w:val="00FA0AF3"/>
    <w:rPr>
      <w:rFonts w:ascii="Lucida Sans Unicode" w:eastAsia="Times New Roman" w:hAnsi="Lucida Sans Unicode" w:cs="Times New Roman"/>
      <w:spacing w:val="-10"/>
      <w:sz w:val="20"/>
      <w:szCs w:val="20"/>
    </w:rPr>
  </w:style>
  <w:style w:type="character" w:customStyle="1" w:styleId="apple-converted-space">
    <w:name w:val="apple-converted-space"/>
    <w:basedOn w:val="DefaultParagraphFont"/>
    <w:rsid w:val="00FA0AF3"/>
  </w:style>
  <w:style w:type="character" w:customStyle="1" w:styleId="SubtitleChar">
    <w:name w:val="Sub title Char"/>
    <w:link w:val="Subtitle"/>
    <w:locked/>
    <w:rsid w:val="00FA0AF3"/>
    <w:rPr>
      <w:rFonts w:ascii="Calibri" w:hAnsi="Calibri"/>
      <w:sz w:val="32"/>
      <w:lang w:val="en-US"/>
    </w:rPr>
  </w:style>
  <w:style w:type="paragraph" w:customStyle="1" w:styleId="Subtitle">
    <w:name w:val="Sub title"/>
    <w:link w:val="SubtitleChar"/>
    <w:autoRedefine/>
    <w:qFormat/>
    <w:rsid w:val="00FA0AF3"/>
    <w:pPr>
      <w:spacing w:before="300" w:after="300" w:line="360" w:lineRule="exact"/>
    </w:pPr>
    <w:rPr>
      <w:rFonts w:ascii="Calibri" w:hAnsi="Calibri"/>
      <w:sz w:val="32"/>
      <w:lang w:val="en-US"/>
    </w:rPr>
  </w:style>
  <w:style w:type="character" w:customStyle="1" w:styleId="ReporttitleChar">
    <w:name w:val="Report title Char"/>
    <w:link w:val="Reporttitle"/>
    <w:locked/>
    <w:rsid w:val="00FA0AF3"/>
    <w:rPr>
      <w:rFonts w:ascii="Calibri" w:hAnsi="Calibri"/>
      <w:sz w:val="56"/>
      <w:lang w:val="en-US"/>
    </w:rPr>
  </w:style>
  <w:style w:type="paragraph" w:customStyle="1" w:styleId="Reporttitle">
    <w:name w:val="Report title"/>
    <w:basedOn w:val="Subtitle"/>
    <w:link w:val="ReporttitleChar"/>
    <w:qFormat/>
    <w:rsid w:val="00FA0AF3"/>
    <w:rPr>
      <w:sz w:val="56"/>
    </w:rPr>
  </w:style>
  <w:style w:type="paragraph" w:styleId="PlainText">
    <w:name w:val="Plain Text"/>
    <w:basedOn w:val="Normal"/>
    <w:link w:val="PlainTextChar"/>
    <w:uiPriority w:val="99"/>
    <w:unhideWhenUsed/>
    <w:rsid w:val="00FA0AF3"/>
    <w:rPr>
      <w:rFonts w:ascii="Calibri" w:hAnsi="Calibri" w:cs="Consolas"/>
      <w:sz w:val="22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0AF3"/>
    <w:rPr>
      <w:rFonts w:ascii="Calibri" w:eastAsia="Times New Roman" w:hAnsi="Calibri" w:cs="Consolas"/>
      <w:szCs w:val="21"/>
      <w:lang w:eastAsia="en-AU"/>
    </w:rPr>
  </w:style>
  <w:style w:type="character" w:customStyle="1" w:styleId="programsessionitalic">
    <w:name w:val="program_session_italic"/>
    <w:basedOn w:val="DefaultParagraphFont"/>
    <w:rsid w:val="00FA0AF3"/>
  </w:style>
  <w:style w:type="character" w:customStyle="1" w:styleId="slug-doi">
    <w:name w:val="slug-doi"/>
    <w:basedOn w:val="DefaultParagraphFont"/>
    <w:rsid w:val="00FA0AF3"/>
  </w:style>
  <w:style w:type="character" w:customStyle="1" w:styleId="slug-ahead-of-print-date">
    <w:name w:val="slug-ahead-of-print-date"/>
    <w:basedOn w:val="DefaultParagraphFont"/>
    <w:rsid w:val="00FA0AF3"/>
  </w:style>
  <w:style w:type="character" w:customStyle="1" w:styleId="Corpsdutexte">
    <w:name w:val="Corps du texte_"/>
    <w:basedOn w:val="DefaultParagraphFont"/>
    <w:link w:val="Corpsdutexte1"/>
    <w:uiPriority w:val="99"/>
    <w:rsid w:val="00FA0AF3"/>
    <w:rPr>
      <w:rFonts w:ascii="Arial" w:hAnsi="Arial" w:cs="Arial"/>
      <w:shd w:val="clear" w:color="auto" w:fill="FFFFFF"/>
    </w:rPr>
  </w:style>
  <w:style w:type="character" w:customStyle="1" w:styleId="En-tte1">
    <w:name w:val="En-tête #1_"/>
    <w:basedOn w:val="DefaultParagraphFont"/>
    <w:link w:val="En-tte10"/>
    <w:uiPriority w:val="99"/>
    <w:rsid w:val="00FA0AF3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En-tte1NonItalique">
    <w:name w:val="En-tête #1 + Non Italique"/>
    <w:basedOn w:val="En-tte1"/>
    <w:uiPriority w:val="99"/>
    <w:rsid w:val="00FA0AF3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FA0AF3"/>
    <w:pPr>
      <w:widowControl w:val="0"/>
      <w:shd w:val="clear" w:color="auto" w:fill="FFFFFF"/>
      <w:spacing w:before="660" w:after="660" w:line="273" w:lineRule="exact"/>
      <w:ind w:hanging="360"/>
      <w:jc w:val="right"/>
    </w:pPr>
    <w:rPr>
      <w:rFonts w:ascii="Arial" w:eastAsiaTheme="minorHAnsi" w:hAnsi="Arial" w:cs="Arial"/>
      <w:sz w:val="22"/>
      <w:szCs w:val="22"/>
    </w:rPr>
  </w:style>
  <w:style w:type="paragraph" w:customStyle="1" w:styleId="En-tte10">
    <w:name w:val="En-tête #1"/>
    <w:basedOn w:val="Normal"/>
    <w:link w:val="En-tte1"/>
    <w:uiPriority w:val="99"/>
    <w:rsid w:val="00FA0AF3"/>
    <w:pPr>
      <w:widowControl w:val="0"/>
      <w:shd w:val="clear" w:color="auto" w:fill="FFFFFF"/>
      <w:spacing w:before="660" w:line="529" w:lineRule="exact"/>
      <w:jc w:val="center"/>
      <w:outlineLvl w:val="0"/>
    </w:pPr>
    <w:rPr>
      <w:rFonts w:ascii="Arial" w:eastAsiaTheme="minorHAnsi" w:hAnsi="Arial" w:cs="Arial"/>
      <w:b/>
      <w:bCs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0AF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0A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aliases w:val="Title Case"/>
    <w:basedOn w:val="DefaultParagraphFont"/>
    <w:uiPriority w:val="31"/>
    <w:qFormat/>
    <w:rsid w:val="00FA0AF3"/>
    <w:rPr>
      <w:rFonts w:asciiTheme="minorHAnsi" w:hAnsiTheme="minorHAnsi"/>
      <w:smallCaps/>
      <w:color w:val="000000" w:themeColor="text1"/>
    </w:rPr>
  </w:style>
  <w:style w:type="character" w:customStyle="1" w:styleId="s1">
    <w:name w:val="s1"/>
    <w:basedOn w:val="DefaultParagraphFont"/>
    <w:rsid w:val="00FA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cu.be/cmom7" TargetMode="External"/><Relationship Id="rId13" Type="http://schemas.openxmlformats.org/officeDocument/2006/relationships/hyperlink" Target="http://www.ler.edu.au/volume-26/5_Galloway%20et%20al_Working%20the%20Nexus_3May2017.pdf" TargetMode="External"/><Relationship Id="rId18" Type="http://schemas.openxmlformats.org/officeDocument/2006/relationships/hyperlink" Target="https://ltr.edu.au/resources/ID14-4320_Nettle_Flinders_ReportSmartCasual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lt.gov.au/project-smart-casual-towards-excellence-sessional-teaching-law-2013" TargetMode="External"/><Relationship Id="rId7" Type="http://schemas.openxmlformats.org/officeDocument/2006/relationships/hyperlink" Target="https://doi.org/10.1007/s10805-021-09425-1" TargetMode="External"/><Relationship Id="rId12" Type="http://schemas.openxmlformats.org/officeDocument/2006/relationships/hyperlink" Target="http://jle.aals.org/home/vol66/iss2/7/" TargetMode="External"/><Relationship Id="rId17" Type="http://schemas.openxmlformats.org/officeDocument/2006/relationships/hyperlink" Target="https://www.amazon.co.uk/Global-Perspectives-Teaching-Excellence-education/dp/04157931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iffith.edu.au/publication/glr/frameset1.html" TargetMode="External"/><Relationship Id="rId20" Type="http://schemas.openxmlformats.org/officeDocument/2006/relationships/hyperlink" Target="http://www.olt.gov.au/system/files/olt_report_ethics_20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ublications.bond.edu.au/ler/vol26/iss1/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nswlawjournal.unsw.edu.au/sites/default/files/g9_heath_hewitt_israel_skead.pdf" TargetMode="External"/><Relationship Id="rId23" Type="http://schemas.openxmlformats.org/officeDocument/2006/relationships/hyperlink" Target="http://www.olt.gov.au/system/files/resources/Israel%2C%20M%20UWA%20Fellowship%20report%202011_0.pdf" TargetMode="External"/><Relationship Id="rId10" Type="http://schemas.openxmlformats.org/officeDocument/2006/relationships/hyperlink" Target="http://dx.doi.org/10.1080/10383441.2017.1406791" TargetMode="External"/><Relationship Id="rId19" Type="http://schemas.openxmlformats.org/officeDocument/2006/relationships/hyperlink" Target="http://www.ahrecs.com/resources/scholarship-teaching-learning-human-research-ethics-resource-manual-sotl-man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38.25.65.17/au/journals/AdelLawRw/2018/3.html" TargetMode="External"/><Relationship Id="rId14" Type="http://schemas.openxmlformats.org/officeDocument/2006/relationships/hyperlink" Target="https://herdsa.org.au/publications/conference-proceedings/research-and-development-higher-education-shape-higher-12" TargetMode="External"/><Relationship Id="rId22" Type="http://schemas.openxmlformats.org/officeDocument/2006/relationships/hyperlink" Target="http://www.olt.gov.au/resource-library?text=enquiry-based%20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Israel</dc:creator>
  <cp:keywords/>
  <dc:description/>
  <cp:lastModifiedBy>Lee PARTRIDGE</cp:lastModifiedBy>
  <cp:revision>2</cp:revision>
  <dcterms:created xsi:type="dcterms:W3CDTF">2021-09-15T05:49:00Z</dcterms:created>
  <dcterms:modified xsi:type="dcterms:W3CDTF">2021-09-15T05:49:00Z</dcterms:modified>
</cp:coreProperties>
</file>